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46638" w14:textId="4E225445" w:rsidR="00EE52DF" w:rsidRPr="00EE52DF" w:rsidRDefault="002A6D52" w:rsidP="0081193A">
      <w:pPr>
        <w:rPr>
          <w:b/>
          <w:color w:val="FF0000"/>
          <w:sz w:val="40"/>
          <w:szCs w:val="40"/>
        </w:rPr>
      </w:pPr>
      <w:r>
        <w:rPr>
          <w:b/>
          <w:noProof/>
          <w:sz w:val="40"/>
          <w:szCs w:val="40"/>
          <w:lang w:eastAsia="fr-CA"/>
        </w:rPr>
        <w:drawing>
          <wp:anchor distT="0" distB="0" distL="114300" distR="114300" simplePos="0" relativeHeight="251658240" behindDoc="1" locked="0" layoutInCell="1" allowOverlap="1" wp14:anchorId="38D3485A" wp14:editId="4B8A0155">
            <wp:simplePos x="0" y="0"/>
            <wp:positionH relativeFrom="margin">
              <wp:align>right</wp:align>
            </wp:positionH>
            <wp:positionV relativeFrom="paragraph">
              <wp:posOffset>0</wp:posOffset>
            </wp:positionV>
            <wp:extent cx="2886075" cy="1485900"/>
            <wp:effectExtent l="0" t="0" r="9525" b="0"/>
            <wp:wrapTight wrapText="bothSides">
              <wp:wrapPolygon edited="0">
                <wp:start x="0" y="0"/>
                <wp:lineTo x="0" y="21323"/>
                <wp:lineTo x="21529" y="21323"/>
                <wp:lineTo x="21529" y="0"/>
                <wp:lineTo x="0" y="0"/>
              </wp:wrapPolygon>
            </wp:wrapTight>
            <wp:docPr id="1" name="Image 1" descr="C:\Users\sonia\AppData\Local\Microsoft\Windows\INetCache\Content.Word\SADC-CAE Est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ia\AppData\Local\Microsoft\Windows\INetCache\Content.Word\SADC-CAE Estri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2DF">
        <w:rPr>
          <w:b/>
          <w:sz w:val="40"/>
          <w:szCs w:val="40"/>
        </w:rPr>
        <w:tab/>
      </w:r>
      <w:r w:rsidR="00EE52DF">
        <w:rPr>
          <w:b/>
          <w:sz w:val="40"/>
          <w:szCs w:val="40"/>
        </w:rPr>
        <w:tab/>
      </w:r>
      <w:r w:rsidR="00EE52DF">
        <w:rPr>
          <w:b/>
          <w:sz w:val="40"/>
          <w:szCs w:val="40"/>
        </w:rPr>
        <w:tab/>
      </w:r>
      <w:r w:rsidR="00EE52DF">
        <w:rPr>
          <w:b/>
          <w:sz w:val="40"/>
          <w:szCs w:val="40"/>
        </w:rPr>
        <w:tab/>
      </w:r>
      <w:r w:rsidR="00EE52DF">
        <w:rPr>
          <w:b/>
          <w:sz w:val="40"/>
          <w:szCs w:val="40"/>
        </w:rPr>
        <w:tab/>
      </w:r>
      <w:r w:rsidR="00EE52DF">
        <w:rPr>
          <w:b/>
          <w:sz w:val="40"/>
          <w:szCs w:val="40"/>
        </w:rPr>
        <w:tab/>
      </w:r>
    </w:p>
    <w:p w14:paraId="2E02A306" w14:textId="247596AE" w:rsidR="007C1A05" w:rsidRDefault="00EE52DF" w:rsidP="0081193A">
      <w:r>
        <w:rPr>
          <w:b/>
          <w:sz w:val="40"/>
          <w:szCs w:val="40"/>
        </w:rPr>
        <w:br/>
      </w:r>
      <w:r w:rsidR="007C1A05" w:rsidRPr="0076756C">
        <w:rPr>
          <w:b/>
          <w:sz w:val="40"/>
          <w:szCs w:val="40"/>
        </w:rPr>
        <w:t>COMMUNIQUÉ DE PRESSE</w:t>
      </w:r>
      <w:r w:rsidR="007C1A05">
        <w:br/>
        <w:t>Pour diffusion immédiate</w:t>
      </w:r>
    </w:p>
    <w:p w14:paraId="256EFF79" w14:textId="77777777" w:rsidR="00FD74A4" w:rsidRDefault="00FD74A4" w:rsidP="00566D93">
      <w:pPr>
        <w:spacing w:after="0" w:line="240" w:lineRule="auto"/>
        <w:rPr>
          <w:rFonts w:ascii="Arial" w:eastAsia="Times New Roman" w:hAnsi="Arial" w:cs="Arial"/>
          <w:b/>
          <w:color w:val="000000"/>
          <w:sz w:val="24"/>
          <w:szCs w:val="24"/>
        </w:rPr>
      </w:pPr>
    </w:p>
    <w:p w14:paraId="323D03D8" w14:textId="77777777" w:rsidR="002A6D52" w:rsidRPr="002A6D52" w:rsidRDefault="002A6D52" w:rsidP="00566D93">
      <w:pPr>
        <w:spacing w:after="0" w:line="240" w:lineRule="auto"/>
        <w:rPr>
          <w:rFonts w:ascii="Arial" w:eastAsia="Times New Roman" w:hAnsi="Arial" w:cs="Arial"/>
          <w:b/>
          <w:color w:val="000000"/>
          <w:sz w:val="32"/>
          <w:szCs w:val="24"/>
        </w:rPr>
      </w:pPr>
    </w:p>
    <w:p w14:paraId="3AC43AEA" w14:textId="4BEAC1B6" w:rsidR="00FD74A4" w:rsidRPr="002A6D52" w:rsidRDefault="00FD74A4" w:rsidP="00FD74A4">
      <w:pPr>
        <w:spacing w:after="0" w:line="240" w:lineRule="auto"/>
        <w:rPr>
          <w:rFonts w:ascii="Arial" w:eastAsia="Times New Roman" w:hAnsi="Arial" w:cs="Arial"/>
          <w:b/>
          <w:color w:val="000000"/>
          <w:sz w:val="32"/>
          <w:szCs w:val="24"/>
        </w:rPr>
      </w:pPr>
      <w:r w:rsidRPr="002A6D52">
        <w:rPr>
          <w:rFonts w:ascii="Arial" w:eastAsia="Times New Roman" w:hAnsi="Arial" w:cs="Arial"/>
          <w:b/>
          <w:color w:val="000000"/>
          <w:sz w:val="32"/>
          <w:szCs w:val="24"/>
        </w:rPr>
        <w:t xml:space="preserve">FONDS D’AIDE ET DE RELANCE RÉGIONALE (FARR) </w:t>
      </w:r>
      <w:r w:rsidR="00F55180" w:rsidRPr="002A6D52">
        <w:rPr>
          <w:rFonts w:ascii="Arial" w:eastAsia="Times New Roman" w:hAnsi="Arial" w:cs="Arial"/>
          <w:b/>
          <w:color w:val="000000"/>
          <w:sz w:val="32"/>
          <w:szCs w:val="24"/>
        </w:rPr>
        <w:br/>
      </w:r>
      <w:r w:rsidR="00037657" w:rsidRPr="002A6D52">
        <w:rPr>
          <w:rFonts w:ascii="Arial" w:eastAsia="Times New Roman" w:hAnsi="Arial" w:cs="Arial"/>
          <w:b/>
          <w:sz w:val="30"/>
          <w:szCs w:val="30"/>
        </w:rPr>
        <w:t>6,3</w:t>
      </w:r>
      <w:r w:rsidRPr="002A6D52">
        <w:rPr>
          <w:rFonts w:ascii="Arial" w:eastAsia="Times New Roman" w:hAnsi="Arial" w:cs="Arial"/>
          <w:b/>
          <w:sz w:val="30"/>
          <w:szCs w:val="30"/>
        </w:rPr>
        <w:t xml:space="preserve"> </w:t>
      </w:r>
      <w:r w:rsidRPr="002A6D52">
        <w:rPr>
          <w:rFonts w:ascii="Arial" w:eastAsia="Times New Roman" w:hAnsi="Arial" w:cs="Arial"/>
          <w:b/>
          <w:color w:val="000000"/>
          <w:sz w:val="30"/>
          <w:szCs w:val="30"/>
        </w:rPr>
        <w:t xml:space="preserve">M$ </w:t>
      </w:r>
      <w:r w:rsidR="00ED1EFC" w:rsidRPr="002A6D52">
        <w:rPr>
          <w:rFonts w:ascii="Arial" w:eastAsia="Times New Roman" w:hAnsi="Arial" w:cs="Arial"/>
          <w:b/>
          <w:color w:val="000000"/>
          <w:sz w:val="30"/>
          <w:szCs w:val="30"/>
        </w:rPr>
        <w:t xml:space="preserve">MAINTENANT DISPONIBLES </w:t>
      </w:r>
      <w:r w:rsidRPr="002A6D52">
        <w:rPr>
          <w:rFonts w:ascii="Arial" w:eastAsia="Times New Roman" w:hAnsi="Arial" w:cs="Arial"/>
          <w:b/>
          <w:color w:val="000000"/>
          <w:sz w:val="30"/>
          <w:szCs w:val="30"/>
        </w:rPr>
        <w:t xml:space="preserve">POUR LES </w:t>
      </w:r>
      <w:r w:rsidR="00ED1EFC" w:rsidRPr="002A6D52">
        <w:rPr>
          <w:rFonts w:ascii="Arial" w:eastAsia="Times New Roman" w:hAnsi="Arial" w:cs="Arial"/>
          <w:b/>
          <w:color w:val="000000"/>
          <w:sz w:val="30"/>
          <w:szCs w:val="30"/>
        </w:rPr>
        <w:t xml:space="preserve">PME </w:t>
      </w:r>
      <w:r w:rsidR="00037657" w:rsidRPr="002A6D52">
        <w:rPr>
          <w:rFonts w:ascii="Arial" w:eastAsia="Times New Roman" w:hAnsi="Arial" w:cs="Arial"/>
          <w:b/>
          <w:color w:val="000000"/>
          <w:sz w:val="30"/>
          <w:szCs w:val="30"/>
        </w:rPr>
        <w:t>DE L’ESTRIE</w:t>
      </w:r>
    </w:p>
    <w:p w14:paraId="10D1E03C" w14:textId="1D0C1EF7" w:rsidR="00B9011E" w:rsidRPr="00A57BBE" w:rsidRDefault="00B9011E" w:rsidP="0081193A">
      <w:pPr>
        <w:rPr>
          <w:rFonts w:ascii="Arial" w:eastAsiaTheme="minorHAnsi" w:hAnsi="Arial" w:cs="Arial"/>
          <w:color w:val="000000" w:themeColor="text1"/>
        </w:rPr>
      </w:pPr>
    </w:p>
    <w:p w14:paraId="05D696AE" w14:textId="1F671398" w:rsidR="007E4035" w:rsidRDefault="002A6D52">
      <w:pPr>
        <w:rPr>
          <w:rFonts w:ascii="Arial" w:eastAsiaTheme="minorHAnsi" w:hAnsi="Arial" w:cs="Arial"/>
          <w:color w:val="000000" w:themeColor="text1"/>
        </w:rPr>
      </w:pPr>
      <w:r w:rsidRPr="002A6D52">
        <w:rPr>
          <w:rFonts w:ascii="Arial" w:eastAsiaTheme="minorHAnsi" w:hAnsi="Arial" w:cs="Arial"/>
          <w:bCs/>
          <w:i/>
        </w:rPr>
        <w:t>Asbestos</w:t>
      </w:r>
      <w:r w:rsidR="007C1A05" w:rsidRPr="002A6D52">
        <w:rPr>
          <w:rFonts w:ascii="Arial" w:eastAsiaTheme="minorHAnsi" w:hAnsi="Arial" w:cs="Arial"/>
          <w:bCs/>
          <w:i/>
        </w:rPr>
        <w:t xml:space="preserve">, le </w:t>
      </w:r>
      <w:r w:rsidR="000A078B" w:rsidRPr="002A6D52">
        <w:rPr>
          <w:rFonts w:ascii="Arial" w:eastAsiaTheme="minorHAnsi" w:hAnsi="Arial" w:cs="Arial"/>
          <w:bCs/>
          <w:i/>
        </w:rPr>
        <w:t>10</w:t>
      </w:r>
      <w:r w:rsidR="00D0116B" w:rsidRPr="002A6D52">
        <w:rPr>
          <w:rFonts w:ascii="Arial" w:eastAsiaTheme="minorHAnsi" w:hAnsi="Arial" w:cs="Arial"/>
          <w:bCs/>
          <w:i/>
        </w:rPr>
        <w:t xml:space="preserve"> juin</w:t>
      </w:r>
      <w:r w:rsidR="007C1A05" w:rsidRPr="002A6D52">
        <w:rPr>
          <w:rFonts w:ascii="Arial" w:eastAsiaTheme="minorHAnsi" w:hAnsi="Arial" w:cs="Arial"/>
          <w:bCs/>
          <w:i/>
        </w:rPr>
        <w:t xml:space="preserve"> 2020</w:t>
      </w:r>
      <w:r w:rsidR="007C1A05" w:rsidRPr="002A6D52">
        <w:rPr>
          <w:rFonts w:ascii="Arial" w:eastAsiaTheme="minorHAnsi" w:hAnsi="Arial" w:cs="Arial"/>
        </w:rPr>
        <w:t xml:space="preserve"> </w:t>
      </w:r>
      <w:r w:rsidR="00566D93" w:rsidRPr="001052B9">
        <w:rPr>
          <w:rFonts w:ascii="Arial" w:eastAsiaTheme="minorHAnsi" w:hAnsi="Arial" w:cs="Arial"/>
          <w:color w:val="000000" w:themeColor="text1"/>
        </w:rPr>
        <w:t>–</w:t>
      </w:r>
      <w:r w:rsidR="007C1A05" w:rsidRPr="001052B9">
        <w:rPr>
          <w:rFonts w:ascii="Arial" w:eastAsiaTheme="minorHAnsi" w:hAnsi="Arial" w:cs="Arial"/>
          <w:color w:val="000000" w:themeColor="text1"/>
        </w:rPr>
        <w:t xml:space="preserve"> </w:t>
      </w:r>
      <w:r w:rsidR="00472F81" w:rsidRPr="001052B9">
        <w:rPr>
          <w:rFonts w:ascii="Arial" w:eastAsiaTheme="minorHAnsi" w:hAnsi="Arial" w:cs="Arial"/>
          <w:color w:val="000000" w:themeColor="text1"/>
        </w:rPr>
        <w:t>La pandémie de la Covid-19</w:t>
      </w:r>
      <w:r w:rsidR="00FD74A4">
        <w:rPr>
          <w:rFonts w:ascii="Arial" w:eastAsiaTheme="minorHAnsi" w:hAnsi="Arial" w:cs="Arial"/>
          <w:color w:val="000000" w:themeColor="text1"/>
        </w:rPr>
        <w:t xml:space="preserve"> touche plusieurs entreprises</w:t>
      </w:r>
      <w:r w:rsidR="00472F81" w:rsidRPr="001052B9">
        <w:rPr>
          <w:rFonts w:ascii="Arial" w:eastAsiaTheme="minorHAnsi" w:hAnsi="Arial" w:cs="Arial"/>
          <w:color w:val="000000" w:themeColor="text1"/>
        </w:rPr>
        <w:t>. Les entrepreneurs ont plus que jamais besoin de soutien pour passer à travers cette période extrêmement difficile et planifier leur relance.</w:t>
      </w:r>
      <w:r w:rsidR="0049372B" w:rsidRPr="001052B9">
        <w:rPr>
          <w:rFonts w:ascii="Arial" w:eastAsiaTheme="minorHAnsi" w:hAnsi="Arial" w:cs="Arial"/>
          <w:color w:val="000000" w:themeColor="text1"/>
        </w:rPr>
        <w:t xml:space="preserve"> </w:t>
      </w:r>
      <w:r w:rsidR="001052B9" w:rsidRPr="001052B9">
        <w:rPr>
          <w:rFonts w:ascii="Arial" w:eastAsiaTheme="minorHAnsi" w:hAnsi="Arial" w:cs="Arial"/>
          <w:color w:val="000000" w:themeColor="text1"/>
        </w:rPr>
        <w:t>Les SADC</w:t>
      </w:r>
      <w:r w:rsidR="00037657">
        <w:rPr>
          <w:rFonts w:ascii="Arial" w:eastAsiaTheme="minorHAnsi" w:hAnsi="Arial" w:cs="Arial"/>
          <w:color w:val="000000" w:themeColor="text1"/>
        </w:rPr>
        <w:t xml:space="preserve"> des Sources, du Haut-Saint-François, de la région de Coaticook, de la région de Mégantic et les CAE Memphrémagog et du Val-Saint-François</w:t>
      </w:r>
      <w:r w:rsidR="00F55180">
        <w:rPr>
          <w:rFonts w:ascii="Arial" w:eastAsiaTheme="minorHAnsi" w:hAnsi="Arial" w:cs="Arial"/>
          <w:color w:val="000000" w:themeColor="text1"/>
        </w:rPr>
        <w:t xml:space="preserve">, </w:t>
      </w:r>
      <w:r w:rsidR="00D0116B" w:rsidRPr="001052B9">
        <w:rPr>
          <w:rFonts w:ascii="Arial" w:eastAsiaTheme="minorHAnsi" w:hAnsi="Arial" w:cs="Arial"/>
          <w:color w:val="000000" w:themeColor="text1"/>
        </w:rPr>
        <w:t>reçoi</w:t>
      </w:r>
      <w:r w:rsidR="00944619" w:rsidRPr="001052B9">
        <w:rPr>
          <w:rFonts w:ascii="Arial" w:eastAsiaTheme="minorHAnsi" w:hAnsi="Arial" w:cs="Arial"/>
          <w:color w:val="000000" w:themeColor="text1"/>
        </w:rPr>
        <w:t>vent</w:t>
      </w:r>
      <w:r w:rsidR="00D0116B" w:rsidRPr="001052B9">
        <w:rPr>
          <w:rFonts w:ascii="Arial" w:eastAsiaTheme="minorHAnsi" w:hAnsi="Arial" w:cs="Arial"/>
          <w:color w:val="000000" w:themeColor="text1"/>
        </w:rPr>
        <w:t xml:space="preserve"> </w:t>
      </w:r>
      <w:r w:rsidR="00037657">
        <w:rPr>
          <w:rFonts w:ascii="Arial" w:eastAsiaTheme="minorHAnsi" w:hAnsi="Arial" w:cs="Arial"/>
          <w:color w:val="000000" w:themeColor="text1"/>
        </w:rPr>
        <w:t>6,3</w:t>
      </w:r>
      <w:r w:rsidR="001052B9">
        <w:rPr>
          <w:rFonts w:ascii="Arial" w:eastAsiaTheme="minorHAnsi" w:hAnsi="Arial" w:cs="Arial"/>
          <w:color w:val="000000" w:themeColor="text1"/>
        </w:rPr>
        <w:t xml:space="preserve"> M</w:t>
      </w:r>
      <w:r w:rsidR="00D0116B" w:rsidRPr="001052B9">
        <w:rPr>
          <w:rFonts w:ascii="Arial" w:eastAsiaTheme="minorHAnsi" w:hAnsi="Arial" w:cs="Arial"/>
          <w:color w:val="000000" w:themeColor="text1"/>
        </w:rPr>
        <w:t>$</w:t>
      </w:r>
      <w:r w:rsidR="00BD645C" w:rsidRPr="001052B9">
        <w:rPr>
          <w:rFonts w:ascii="Arial" w:eastAsiaTheme="minorHAnsi" w:hAnsi="Arial" w:cs="Arial"/>
          <w:color w:val="000000" w:themeColor="text1"/>
        </w:rPr>
        <w:t xml:space="preserve"> de Développement économique Canada pour les régions du Québec (DEC)</w:t>
      </w:r>
      <w:r w:rsidR="0049372B" w:rsidRPr="001052B9">
        <w:rPr>
          <w:rFonts w:ascii="Arial" w:eastAsiaTheme="minorHAnsi" w:hAnsi="Arial" w:cs="Arial"/>
          <w:color w:val="000000" w:themeColor="text1"/>
        </w:rPr>
        <w:t xml:space="preserve"> dans le cadre du Fond</w:t>
      </w:r>
      <w:r w:rsidR="00FD74A4">
        <w:rPr>
          <w:rFonts w:ascii="Arial" w:eastAsiaTheme="minorHAnsi" w:hAnsi="Arial" w:cs="Arial"/>
          <w:color w:val="000000" w:themeColor="text1"/>
        </w:rPr>
        <w:t>s</w:t>
      </w:r>
      <w:r w:rsidR="0049372B" w:rsidRPr="001052B9">
        <w:rPr>
          <w:rFonts w:ascii="Arial" w:eastAsiaTheme="minorHAnsi" w:hAnsi="Arial" w:cs="Arial"/>
          <w:color w:val="000000" w:themeColor="text1"/>
        </w:rPr>
        <w:t xml:space="preserve"> d’aide et de relance régionale (FARR). Cette contribution financière permettra </w:t>
      </w:r>
      <w:r w:rsidR="00FB7C61" w:rsidRPr="001052B9">
        <w:rPr>
          <w:rFonts w:ascii="Arial" w:eastAsiaTheme="minorHAnsi" w:hAnsi="Arial" w:cs="Arial"/>
          <w:color w:val="000000" w:themeColor="text1"/>
        </w:rPr>
        <w:t xml:space="preserve">d’aider les entreprises </w:t>
      </w:r>
      <w:r w:rsidR="00BD645C" w:rsidRPr="001052B9">
        <w:rPr>
          <w:rFonts w:ascii="Arial" w:eastAsiaTheme="minorHAnsi" w:hAnsi="Arial" w:cs="Arial"/>
          <w:color w:val="000000" w:themeColor="text1"/>
        </w:rPr>
        <w:t>qui n</w:t>
      </w:r>
      <w:r w:rsidR="00A57BBE" w:rsidRPr="001052B9">
        <w:rPr>
          <w:rFonts w:ascii="Arial" w:eastAsiaTheme="minorHAnsi" w:hAnsi="Arial" w:cs="Arial"/>
          <w:color w:val="000000" w:themeColor="text1"/>
        </w:rPr>
        <w:t>’</w:t>
      </w:r>
      <w:r w:rsidR="00BD645C" w:rsidRPr="001052B9">
        <w:rPr>
          <w:rFonts w:ascii="Arial" w:eastAsiaTheme="minorHAnsi" w:hAnsi="Arial" w:cs="Arial"/>
          <w:color w:val="000000" w:themeColor="text1"/>
        </w:rPr>
        <w:t>ont pu</w:t>
      </w:r>
      <w:r w:rsidR="000A2C33" w:rsidRPr="001052B9">
        <w:rPr>
          <w:rFonts w:ascii="Arial" w:eastAsiaTheme="minorHAnsi" w:hAnsi="Arial" w:cs="Arial"/>
          <w:color w:val="000000" w:themeColor="text1"/>
        </w:rPr>
        <w:t xml:space="preserve">, jusqu’à maintenant, </w:t>
      </w:r>
      <w:r w:rsidR="00BD645C" w:rsidRPr="001052B9">
        <w:rPr>
          <w:rFonts w:ascii="Arial" w:eastAsiaTheme="minorHAnsi" w:hAnsi="Arial" w:cs="Arial"/>
          <w:color w:val="000000" w:themeColor="text1"/>
        </w:rPr>
        <w:t>b</w:t>
      </w:r>
      <w:r w:rsidR="00BD645C" w:rsidRPr="001052B9">
        <w:rPr>
          <w:rFonts w:ascii="Arial" w:eastAsiaTheme="minorHAnsi" w:hAnsi="Arial" w:cs="Arial" w:hint="eastAsia"/>
          <w:color w:val="000000" w:themeColor="text1"/>
        </w:rPr>
        <w:t>é</w:t>
      </w:r>
      <w:r w:rsidR="00BD645C" w:rsidRPr="001052B9">
        <w:rPr>
          <w:rFonts w:ascii="Arial" w:eastAsiaTheme="minorHAnsi" w:hAnsi="Arial" w:cs="Arial"/>
          <w:color w:val="000000" w:themeColor="text1"/>
        </w:rPr>
        <w:t>n</w:t>
      </w:r>
      <w:r w:rsidR="00BD645C" w:rsidRPr="001052B9">
        <w:rPr>
          <w:rFonts w:ascii="Arial" w:eastAsiaTheme="minorHAnsi" w:hAnsi="Arial" w:cs="Arial" w:hint="eastAsia"/>
          <w:color w:val="000000" w:themeColor="text1"/>
        </w:rPr>
        <w:t>é</w:t>
      </w:r>
      <w:r w:rsidR="00BD645C" w:rsidRPr="001052B9">
        <w:rPr>
          <w:rFonts w:ascii="Arial" w:eastAsiaTheme="minorHAnsi" w:hAnsi="Arial" w:cs="Arial"/>
          <w:color w:val="000000" w:themeColor="text1"/>
        </w:rPr>
        <w:t>fici</w:t>
      </w:r>
      <w:r w:rsidR="000A2C33" w:rsidRPr="001052B9">
        <w:rPr>
          <w:rFonts w:ascii="Arial" w:eastAsiaTheme="minorHAnsi" w:hAnsi="Arial" w:cs="Arial"/>
          <w:color w:val="000000" w:themeColor="text1"/>
        </w:rPr>
        <w:t>er</w:t>
      </w:r>
      <w:r w:rsidR="00BD645C" w:rsidRPr="001052B9">
        <w:rPr>
          <w:rFonts w:ascii="Arial" w:eastAsiaTheme="minorHAnsi" w:hAnsi="Arial" w:cs="Arial"/>
          <w:color w:val="000000" w:themeColor="text1"/>
        </w:rPr>
        <w:t xml:space="preserve"> de l</w:t>
      </w:r>
      <w:r w:rsidR="00A57BBE" w:rsidRPr="001052B9">
        <w:rPr>
          <w:rFonts w:ascii="Arial" w:eastAsiaTheme="minorHAnsi" w:hAnsi="Arial" w:cs="Arial"/>
          <w:color w:val="000000" w:themeColor="text1"/>
        </w:rPr>
        <w:t>’</w:t>
      </w:r>
      <w:r w:rsidR="00BD645C" w:rsidRPr="001052B9">
        <w:rPr>
          <w:rFonts w:ascii="Arial" w:eastAsiaTheme="minorHAnsi" w:hAnsi="Arial" w:cs="Arial"/>
          <w:color w:val="000000" w:themeColor="text1"/>
        </w:rPr>
        <w:t>appui du gouvernemental f</w:t>
      </w:r>
      <w:r w:rsidR="00BD645C" w:rsidRPr="001052B9">
        <w:rPr>
          <w:rFonts w:ascii="Arial" w:eastAsiaTheme="minorHAnsi" w:hAnsi="Arial" w:cs="Arial" w:hint="eastAsia"/>
          <w:color w:val="000000" w:themeColor="text1"/>
        </w:rPr>
        <w:t>é</w:t>
      </w:r>
      <w:r w:rsidR="00BD645C" w:rsidRPr="001052B9">
        <w:rPr>
          <w:rFonts w:ascii="Arial" w:eastAsiaTheme="minorHAnsi" w:hAnsi="Arial" w:cs="Arial"/>
          <w:color w:val="000000" w:themeColor="text1"/>
        </w:rPr>
        <w:t>d</w:t>
      </w:r>
      <w:r w:rsidR="00BD645C" w:rsidRPr="001052B9">
        <w:rPr>
          <w:rFonts w:ascii="Arial" w:eastAsiaTheme="minorHAnsi" w:hAnsi="Arial" w:cs="Arial" w:hint="eastAsia"/>
          <w:color w:val="000000" w:themeColor="text1"/>
        </w:rPr>
        <w:t>é</w:t>
      </w:r>
      <w:r w:rsidR="00BD645C" w:rsidRPr="001052B9">
        <w:rPr>
          <w:rFonts w:ascii="Arial" w:eastAsiaTheme="minorHAnsi" w:hAnsi="Arial" w:cs="Arial"/>
          <w:color w:val="000000" w:themeColor="text1"/>
        </w:rPr>
        <w:t>ral</w:t>
      </w:r>
      <w:r w:rsidR="00FB7C61" w:rsidRPr="001052B9">
        <w:rPr>
          <w:rFonts w:ascii="Arial" w:eastAsiaTheme="minorHAnsi" w:hAnsi="Arial" w:cs="Arial"/>
          <w:color w:val="000000" w:themeColor="text1"/>
        </w:rPr>
        <w:t>.</w:t>
      </w:r>
      <w:r w:rsidR="00DD5169" w:rsidRPr="001052B9">
        <w:rPr>
          <w:rFonts w:ascii="Arial" w:eastAsiaTheme="minorHAnsi" w:hAnsi="Arial" w:cs="Arial"/>
          <w:color w:val="000000" w:themeColor="text1"/>
        </w:rPr>
        <w:t xml:space="preserve"> </w:t>
      </w:r>
      <w:r w:rsidR="00615B68">
        <w:rPr>
          <w:rFonts w:ascii="Arial" w:eastAsiaTheme="minorHAnsi" w:hAnsi="Arial" w:cs="Arial"/>
          <w:color w:val="000000" w:themeColor="text1"/>
        </w:rPr>
        <w:t xml:space="preserve">Chaque SADC </w:t>
      </w:r>
      <w:r w:rsidR="00E82B19">
        <w:rPr>
          <w:rFonts w:ascii="Arial" w:eastAsiaTheme="minorHAnsi" w:hAnsi="Arial" w:cs="Arial"/>
          <w:color w:val="000000" w:themeColor="text1"/>
        </w:rPr>
        <w:t xml:space="preserve">et CAE </w:t>
      </w:r>
      <w:r w:rsidR="00615B68">
        <w:rPr>
          <w:rFonts w:ascii="Arial" w:eastAsiaTheme="minorHAnsi" w:hAnsi="Arial" w:cs="Arial"/>
          <w:color w:val="000000" w:themeColor="text1"/>
        </w:rPr>
        <w:t xml:space="preserve">recevra donc un montant de </w:t>
      </w:r>
      <w:r w:rsidR="00213063">
        <w:rPr>
          <w:rFonts w:ascii="Arial" w:eastAsiaTheme="minorHAnsi" w:hAnsi="Arial" w:cs="Arial"/>
          <w:color w:val="000000" w:themeColor="text1"/>
        </w:rPr>
        <w:t>1</w:t>
      </w:r>
      <w:r w:rsidR="008C384A">
        <w:rPr>
          <w:rFonts w:ascii="Arial" w:eastAsiaTheme="minorHAnsi" w:hAnsi="Arial" w:cs="Arial"/>
          <w:color w:val="000000" w:themeColor="text1"/>
        </w:rPr>
        <w:t> </w:t>
      </w:r>
      <w:r w:rsidR="00213063">
        <w:rPr>
          <w:rFonts w:ascii="Arial" w:eastAsiaTheme="minorHAnsi" w:hAnsi="Arial" w:cs="Arial"/>
          <w:color w:val="000000" w:themeColor="text1"/>
        </w:rPr>
        <w:t>0</w:t>
      </w:r>
      <w:r w:rsidR="00001C32">
        <w:rPr>
          <w:rFonts w:ascii="Arial" w:eastAsiaTheme="minorHAnsi" w:hAnsi="Arial" w:cs="Arial"/>
          <w:color w:val="000000" w:themeColor="text1"/>
        </w:rPr>
        <w:t>5</w:t>
      </w:r>
      <w:r w:rsidR="00072073">
        <w:rPr>
          <w:rFonts w:ascii="Arial" w:eastAsiaTheme="minorHAnsi" w:hAnsi="Arial" w:cs="Arial"/>
          <w:color w:val="000000" w:themeColor="text1"/>
        </w:rPr>
        <w:t>9</w:t>
      </w:r>
      <w:r w:rsidR="008C384A">
        <w:rPr>
          <w:rFonts w:ascii="Arial" w:eastAsiaTheme="minorHAnsi" w:hAnsi="Arial" w:cs="Arial"/>
          <w:color w:val="000000" w:themeColor="text1"/>
        </w:rPr>
        <w:t xml:space="preserve"> 701</w:t>
      </w:r>
      <w:r w:rsidR="00213063">
        <w:rPr>
          <w:rFonts w:ascii="Arial" w:eastAsiaTheme="minorHAnsi" w:hAnsi="Arial" w:cs="Arial"/>
          <w:color w:val="000000" w:themeColor="text1"/>
        </w:rPr>
        <w:t xml:space="preserve"> </w:t>
      </w:r>
      <w:r w:rsidR="00615B68">
        <w:rPr>
          <w:rFonts w:ascii="Arial" w:eastAsiaTheme="minorHAnsi" w:hAnsi="Arial" w:cs="Arial"/>
          <w:color w:val="000000" w:themeColor="text1"/>
        </w:rPr>
        <w:t>$</w:t>
      </w:r>
      <w:r w:rsidR="00F55180">
        <w:rPr>
          <w:rFonts w:ascii="Arial" w:eastAsiaTheme="minorHAnsi" w:hAnsi="Arial" w:cs="Arial"/>
          <w:color w:val="000000" w:themeColor="text1"/>
        </w:rPr>
        <w:t>.</w:t>
      </w:r>
      <w:r w:rsidR="00615B68">
        <w:rPr>
          <w:rFonts w:ascii="Arial" w:eastAsiaTheme="minorHAnsi" w:hAnsi="Arial" w:cs="Arial"/>
          <w:color w:val="000000" w:themeColor="text1"/>
        </w:rPr>
        <w:t xml:space="preserve"> </w:t>
      </w:r>
    </w:p>
    <w:p w14:paraId="3B307F47" w14:textId="688AD097" w:rsidR="00FB7C61" w:rsidRPr="0034225B" w:rsidRDefault="00E12864" w:rsidP="0034225B">
      <w:pPr>
        <w:rPr>
          <w:rFonts w:ascii="Arial" w:eastAsiaTheme="minorHAnsi" w:hAnsi="Arial" w:cs="Arial"/>
          <w:color w:val="000000" w:themeColor="text1"/>
        </w:rPr>
      </w:pPr>
      <w:r w:rsidRPr="00E12864">
        <w:rPr>
          <w:rFonts w:ascii="Arial" w:eastAsiaTheme="minorHAnsi" w:hAnsi="Arial" w:cs="Arial"/>
          <w:color w:val="000000" w:themeColor="text1"/>
        </w:rPr>
        <w:t xml:space="preserve">Les entrepreneurs sont invités à faire une demande auprès de leur SADC ou CAE. </w:t>
      </w:r>
      <w:r w:rsidRPr="00ED1EFC">
        <w:rPr>
          <w:rFonts w:ascii="Arial" w:eastAsiaTheme="minorHAnsi" w:hAnsi="Arial" w:cs="Arial"/>
          <w:color w:val="000000" w:themeColor="text1"/>
        </w:rPr>
        <w:t xml:space="preserve">Pour </w:t>
      </w:r>
      <w:r w:rsidR="00D73EBB" w:rsidRPr="00ED1EFC">
        <w:rPr>
          <w:rFonts w:ascii="Arial" w:eastAsiaTheme="minorHAnsi" w:hAnsi="Arial" w:cs="Arial"/>
          <w:color w:val="000000" w:themeColor="text1"/>
        </w:rPr>
        <w:t xml:space="preserve">vérifier </w:t>
      </w:r>
      <w:r w:rsidR="00944619" w:rsidRPr="00ED1EFC">
        <w:rPr>
          <w:rFonts w:ascii="Arial" w:eastAsiaTheme="minorHAnsi" w:hAnsi="Arial" w:cs="Arial"/>
          <w:color w:val="000000" w:themeColor="text1"/>
        </w:rPr>
        <w:t>leur</w:t>
      </w:r>
      <w:r w:rsidRPr="00ED1EFC">
        <w:rPr>
          <w:rFonts w:ascii="Arial" w:eastAsiaTheme="minorHAnsi" w:hAnsi="Arial" w:cs="Arial"/>
          <w:color w:val="000000" w:themeColor="text1"/>
        </w:rPr>
        <w:t xml:space="preserve"> admissibilité </w:t>
      </w:r>
      <w:r w:rsidR="00144C7A" w:rsidRPr="00ED1EFC">
        <w:rPr>
          <w:rFonts w:ascii="Arial" w:eastAsiaTheme="minorHAnsi" w:hAnsi="Arial" w:cs="Arial"/>
          <w:color w:val="000000" w:themeColor="text1"/>
        </w:rPr>
        <w:t>a</w:t>
      </w:r>
      <w:r w:rsidR="00D73EBB" w:rsidRPr="00ED1EFC">
        <w:rPr>
          <w:rFonts w:ascii="Arial" w:eastAsiaTheme="minorHAnsi" w:hAnsi="Arial" w:cs="Arial"/>
          <w:color w:val="000000" w:themeColor="text1"/>
        </w:rPr>
        <w:t>u</w:t>
      </w:r>
      <w:r w:rsidRPr="00ED1EFC">
        <w:rPr>
          <w:rFonts w:ascii="Arial" w:eastAsiaTheme="minorHAnsi" w:hAnsi="Arial" w:cs="Arial"/>
          <w:color w:val="000000" w:themeColor="text1"/>
        </w:rPr>
        <w:t xml:space="preserve"> FARR</w:t>
      </w:r>
      <w:r w:rsidR="00ED1EFC">
        <w:rPr>
          <w:rFonts w:ascii="Arial" w:eastAsiaTheme="minorHAnsi" w:hAnsi="Arial" w:cs="Arial"/>
          <w:color w:val="000000" w:themeColor="text1"/>
        </w:rPr>
        <w:t xml:space="preserve"> et trouver leur SADC ou CAE régional : </w:t>
      </w:r>
      <w:hyperlink r:id="rId8" w:history="1">
        <w:r w:rsidR="00ED1EFC" w:rsidRPr="008C384A">
          <w:rPr>
            <w:rStyle w:val="Lienhypertexte"/>
            <w:rFonts w:ascii="Arial" w:eastAsiaTheme="minorHAnsi" w:hAnsi="Arial" w:cs="Arial"/>
          </w:rPr>
          <w:t>sadc-cae.ca</w:t>
        </w:r>
      </w:hyperlink>
      <w:r w:rsidR="00ED1EFC">
        <w:rPr>
          <w:rFonts w:ascii="Arial" w:eastAsiaTheme="minorHAnsi" w:hAnsi="Arial" w:cs="Arial"/>
          <w:color w:val="000000" w:themeColor="text1"/>
        </w:rPr>
        <w:t xml:space="preserve"> </w:t>
      </w:r>
    </w:p>
    <w:p w14:paraId="12E96227" w14:textId="77777777" w:rsidR="008C384A" w:rsidRDefault="008C384A" w:rsidP="00C14B56">
      <w:pPr>
        <w:widowControl w:val="0"/>
        <w:tabs>
          <w:tab w:val="left" w:pos="220"/>
          <w:tab w:val="left" w:pos="720"/>
        </w:tabs>
        <w:autoSpaceDE w:val="0"/>
        <w:autoSpaceDN w:val="0"/>
        <w:adjustRightInd w:val="0"/>
        <w:spacing w:after="0" w:line="240" w:lineRule="auto"/>
        <w:rPr>
          <w:rFonts w:ascii="Arial" w:eastAsiaTheme="minorHAnsi" w:hAnsi="Arial" w:cs="Arial"/>
          <w:b/>
          <w:color w:val="000000" w:themeColor="text1"/>
        </w:rPr>
      </w:pPr>
    </w:p>
    <w:p w14:paraId="62E06D4C" w14:textId="02124B8F" w:rsidR="008C384A" w:rsidRDefault="001F21CC" w:rsidP="00C14B56">
      <w:pPr>
        <w:widowControl w:val="0"/>
        <w:tabs>
          <w:tab w:val="left" w:pos="220"/>
          <w:tab w:val="left" w:pos="720"/>
        </w:tabs>
        <w:autoSpaceDE w:val="0"/>
        <w:autoSpaceDN w:val="0"/>
        <w:adjustRightInd w:val="0"/>
        <w:spacing w:after="0" w:line="240" w:lineRule="auto"/>
        <w:rPr>
          <w:rFonts w:ascii="Arial" w:eastAsiaTheme="minorHAnsi" w:hAnsi="Arial" w:cs="Arial"/>
          <w:color w:val="000000" w:themeColor="text1"/>
        </w:rPr>
      </w:pPr>
      <w:r w:rsidRPr="001F21CC">
        <w:rPr>
          <w:rFonts w:ascii="Arial" w:eastAsiaTheme="minorHAnsi" w:hAnsi="Arial" w:cs="Arial"/>
          <w:b/>
          <w:color w:val="000000" w:themeColor="text1"/>
        </w:rPr>
        <w:t>PLUS QUE DU FINANCEMENT</w:t>
      </w:r>
      <w:r>
        <w:rPr>
          <w:rFonts w:ascii="Arial" w:eastAsiaTheme="minorHAnsi" w:hAnsi="Arial" w:cs="Arial"/>
          <w:color w:val="000000" w:themeColor="text1"/>
        </w:rPr>
        <w:t xml:space="preserve"> </w:t>
      </w:r>
    </w:p>
    <w:p w14:paraId="14391BC1" w14:textId="519480A0" w:rsidR="00DD5169" w:rsidRDefault="0083592A" w:rsidP="00C14B56">
      <w:pPr>
        <w:widowControl w:val="0"/>
        <w:tabs>
          <w:tab w:val="left" w:pos="220"/>
          <w:tab w:val="left" w:pos="720"/>
        </w:tabs>
        <w:autoSpaceDE w:val="0"/>
        <w:autoSpaceDN w:val="0"/>
        <w:adjustRightInd w:val="0"/>
        <w:spacing w:after="0" w:line="240" w:lineRule="auto"/>
        <w:rPr>
          <w:rFonts w:ascii="Arial" w:eastAsiaTheme="minorHAnsi" w:hAnsi="Arial" w:cs="Arial"/>
          <w:color w:val="000000" w:themeColor="text1"/>
        </w:rPr>
      </w:pPr>
      <w:r>
        <w:rPr>
          <w:rFonts w:ascii="Arial" w:eastAsiaTheme="minorHAnsi" w:hAnsi="Arial" w:cs="Arial"/>
          <w:color w:val="000000" w:themeColor="text1"/>
        </w:rPr>
        <w:t>L’a</w:t>
      </w:r>
      <w:r w:rsidRPr="00A57BBE">
        <w:rPr>
          <w:rFonts w:ascii="Arial" w:eastAsiaTheme="minorHAnsi" w:hAnsi="Arial" w:cs="Arial"/>
          <w:color w:val="000000" w:themeColor="text1"/>
        </w:rPr>
        <w:t xml:space="preserve">ide </w:t>
      </w:r>
      <w:r w:rsidRPr="0034225B">
        <w:rPr>
          <w:rFonts w:ascii="Arial" w:eastAsiaTheme="minorHAnsi" w:hAnsi="Arial" w:cs="Arial"/>
          <w:color w:val="000000" w:themeColor="text1"/>
        </w:rPr>
        <w:t>octroy</w:t>
      </w:r>
      <w:r w:rsidRPr="0034225B">
        <w:rPr>
          <w:rFonts w:ascii="Arial" w:eastAsiaTheme="minorHAnsi" w:hAnsi="Arial" w:cs="Arial"/>
        </w:rPr>
        <w:t>ée</w:t>
      </w:r>
      <w:r w:rsidR="00F8541A" w:rsidRPr="00A57BBE">
        <w:rPr>
          <w:rFonts w:ascii="Arial" w:eastAsiaTheme="minorHAnsi" w:hAnsi="Arial" w:cs="Arial"/>
        </w:rPr>
        <w:t xml:space="preserve"> </w:t>
      </w:r>
      <w:r w:rsidR="00F8541A" w:rsidRPr="00A57BBE">
        <w:rPr>
          <w:rFonts w:ascii="Arial" w:eastAsiaTheme="minorHAnsi" w:hAnsi="Arial" w:cs="Arial"/>
          <w:color w:val="000000" w:themeColor="text1"/>
        </w:rPr>
        <w:t>par</w:t>
      </w:r>
      <w:r w:rsidR="00F8541A">
        <w:rPr>
          <w:rFonts w:ascii="Arial" w:eastAsiaTheme="minorHAnsi" w:hAnsi="Arial" w:cs="Arial"/>
          <w:color w:val="000000" w:themeColor="text1"/>
        </w:rPr>
        <w:t xml:space="preserve"> les SADC et CAE peut </w:t>
      </w:r>
      <w:r w:rsidR="007C6D48">
        <w:rPr>
          <w:rFonts w:ascii="Arial" w:eastAsiaTheme="minorHAnsi" w:hAnsi="Arial" w:cs="Arial"/>
          <w:color w:val="000000" w:themeColor="text1"/>
        </w:rPr>
        <w:t>se faire sous forme de</w:t>
      </w:r>
      <w:r w:rsidR="00C14B56">
        <w:rPr>
          <w:rFonts w:ascii="Arial" w:eastAsiaTheme="minorHAnsi" w:hAnsi="Arial" w:cs="Arial"/>
          <w:color w:val="000000" w:themeColor="text1"/>
        </w:rPr>
        <w:t xml:space="preserve"> fonds de roulement pouvant aller jusqu’à 40 000 $ ou encore </w:t>
      </w:r>
      <w:r w:rsidR="007C6D48">
        <w:rPr>
          <w:rFonts w:ascii="Arial" w:eastAsiaTheme="minorHAnsi" w:hAnsi="Arial" w:cs="Arial"/>
          <w:color w:val="000000" w:themeColor="text1"/>
        </w:rPr>
        <w:t>sous forme de</w:t>
      </w:r>
      <w:r w:rsidR="00C14B56">
        <w:rPr>
          <w:rFonts w:ascii="Arial" w:eastAsiaTheme="minorHAnsi" w:hAnsi="Arial" w:cs="Arial"/>
          <w:color w:val="000000" w:themeColor="text1"/>
        </w:rPr>
        <w:t xml:space="preserve"> contribution financière non remboursable pour des </w:t>
      </w:r>
      <w:r w:rsidR="00C14B56" w:rsidRPr="00AB006C">
        <w:rPr>
          <w:rFonts w:ascii="Arial" w:eastAsiaTheme="minorHAnsi" w:hAnsi="Arial" w:cs="Arial"/>
          <w:color w:val="000000" w:themeColor="text1"/>
        </w:rPr>
        <w:t>besoin</w:t>
      </w:r>
      <w:r w:rsidR="00C14B56">
        <w:rPr>
          <w:rFonts w:ascii="Arial" w:eastAsiaTheme="minorHAnsi" w:hAnsi="Arial" w:cs="Arial"/>
          <w:color w:val="000000" w:themeColor="text1"/>
        </w:rPr>
        <w:t>s</w:t>
      </w:r>
      <w:r w:rsidR="00C14B56" w:rsidRPr="00AB006C">
        <w:rPr>
          <w:rFonts w:ascii="Arial" w:eastAsiaTheme="minorHAnsi" w:hAnsi="Arial" w:cs="Arial"/>
          <w:color w:val="000000" w:themeColor="text1"/>
        </w:rPr>
        <w:t xml:space="preserve"> d’aide technique</w:t>
      </w:r>
      <w:r w:rsidR="00C14B56">
        <w:rPr>
          <w:rFonts w:ascii="Arial" w:eastAsiaTheme="minorHAnsi" w:hAnsi="Arial" w:cs="Arial"/>
          <w:color w:val="000000" w:themeColor="text1"/>
        </w:rPr>
        <w:t xml:space="preserve"> comme des </w:t>
      </w:r>
      <w:r w:rsidR="00C14B56" w:rsidRPr="00566D93">
        <w:rPr>
          <w:rFonts w:ascii="Arial" w:eastAsiaTheme="minorHAnsi" w:hAnsi="Arial" w:cs="Arial"/>
          <w:color w:val="000000" w:themeColor="text1"/>
        </w:rPr>
        <w:t xml:space="preserve">expertises spécialisées dans des domaines </w:t>
      </w:r>
      <w:r w:rsidR="00C14B56">
        <w:rPr>
          <w:rFonts w:ascii="Arial" w:eastAsiaTheme="minorHAnsi" w:hAnsi="Arial" w:cs="Arial"/>
          <w:color w:val="000000" w:themeColor="text1"/>
        </w:rPr>
        <w:t xml:space="preserve">primordiaux actuellement chez nos clientèles </w:t>
      </w:r>
      <w:r w:rsidR="007C6D48">
        <w:rPr>
          <w:rFonts w:ascii="Arial" w:eastAsiaTheme="minorHAnsi" w:hAnsi="Arial" w:cs="Arial"/>
          <w:color w:val="000000" w:themeColor="text1"/>
        </w:rPr>
        <w:t>comme</w:t>
      </w:r>
      <w:r w:rsidR="00C14B56" w:rsidRPr="00566D93">
        <w:rPr>
          <w:rFonts w:ascii="Arial" w:eastAsiaTheme="minorHAnsi" w:hAnsi="Arial" w:cs="Arial"/>
          <w:color w:val="000000" w:themeColor="text1"/>
        </w:rPr>
        <w:t xml:space="preserve"> l’adaptation aux mesures sanitaires, </w:t>
      </w:r>
      <w:r w:rsidR="00C14B56">
        <w:rPr>
          <w:rFonts w:ascii="Arial" w:eastAsiaTheme="minorHAnsi" w:hAnsi="Arial" w:cs="Arial"/>
          <w:color w:val="000000" w:themeColor="text1"/>
        </w:rPr>
        <w:t xml:space="preserve">le développement de </w:t>
      </w:r>
      <w:r w:rsidR="00C14B56" w:rsidRPr="00566D93">
        <w:rPr>
          <w:rFonts w:ascii="Arial" w:eastAsiaTheme="minorHAnsi" w:hAnsi="Arial" w:cs="Arial"/>
          <w:color w:val="000000" w:themeColor="text1"/>
        </w:rPr>
        <w:t xml:space="preserve">plan financier de continuité pour préparer l’avenir ou encore l’adoption des technologies pour le commerce en ligne. </w:t>
      </w:r>
    </w:p>
    <w:p w14:paraId="59058178" w14:textId="03DD4ABF" w:rsidR="00DD5169" w:rsidRDefault="00DD5169" w:rsidP="00C14B56">
      <w:pPr>
        <w:widowControl w:val="0"/>
        <w:tabs>
          <w:tab w:val="left" w:pos="220"/>
          <w:tab w:val="left" w:pos="720"/>
        </w:tabs>
        <w:autoSpaceDE w:val="0"/>
        <w:autoSpaceDN w:val="0"/>
        <w:adjustRightInd w:val="0"/>
        <w:spacing w:after="0" w:line="240" w:lineRule="auto"/>
        <w:rPr>
          <w:rFonts w:ascii="Arial" w:eastAsiaTheme="minorHAnsi" w:hAnsi="Arial" w:cs="Arial"/>
          <w:color w:val="000000" w:themeColor="text1"/>
        </w:rPr>
      </w:pPr>
    </w:p>
    <w:p w14:paraId="444129B5" w14:textId="43880D62" w:rsidR="00C14B56" w:rsidRPr="00875FBE" w:rsidRDefault="00C14B56" w:rsidP="00C14B56">
      <w:pPr>
        <w:widowControl w:val="0"/>
        <w:tabs>
          <w:tab w:val="left" w:pos="220"/>
          <w:tab w:val="left" w:pos="720"/>
        </w:tabs>
        <w:autoSpaceDE w:val="0"/>
        <w:autoSpaceDN w:val="0"/>
        <w:adjustRightInd w:val="0"/>
        <w:spacing w:after="0" w:line="240" w:lineRule="auto"/>
        <w:rPr>
          <w:rFonts w:ascii="Arial" w:eastAsiaTheme="minorHAnsi" w:hAnsi="Arial" w:cs="Arial"/>
        </w:rPr>
      </w:pPr>
      <w:r w:rsidRPr="00017C0B">
        <w:rPr>
          <w:rFonts w:ascii="Arial" w:eastAsiaTheme="minorHAnsi" w:hAnsi="Arial" w:cs="Arial"/>
          <w:color w:val="000000" w:themeColor="text1"/>
        </w:rPr>
        <w:t xml:space="preserve">Les </w:t>
      </w:r>
      <w:r w:rsidRPr="0034225B">
        <w:rPr>
          <w:rFonts w:ascii="Arial" w:eastAsiaTheme="minorHAnsi" w:hAnsi="Arial" w:cs="Arial"/>
          <w:color w:val="000000" w:themeColor="text1"/>
        </w:rPr>
        <w:t>SADC ou CAE</w:t>
      </w:r>
      <w:r>
        <w:rPr>
          <w:rFonts w:ascii="Arial" w:eastAsiaTheme="minorHAnsi" w:hAnsi="Arial" w:cs="Arial"/>
          <w:color w:val="000000" w:themeColor="text1"/>
        </w:rPr>
        <w:t xml:space="preserve"> </w:t>
      </w:r>
      <w:r w:rsidRPr="007241A8">
        <w:rPr>
          <w:rFonts w:ascii="Arial" w:eastAsiaTheme="minorHAnsi" w:hAnsi="Arial" w:cs="Arial"/>
          <w:color w:val="000000" w:themeColor="text1"/>
        </w:rPr>
        <w:t xml:space="preserve">pourront aussi </w:t>
      </w:r>
      <w:r w:rsidR="000F6FE2">
        <w:rPr>
          <w:rFonts w:ascii="Arial" w:eastAsiaTheme="minorHAnsi" w:hAnsi="Arial" w:cs="Arial"/>
          <w:color w:val="000000" w:themeColor="text1"/>
        </w:rPr>
        <w:t>réaliser</w:t>
      </w:r>
      <w:r w:rsidRPr="007241A8">
        <w:rPr>
          <w:rFonts w:ascii="Arial" w:eastAsiaTheme="minorHAnsi" w:hAnsi="Arial" w:cs="Arial"/>
          <w:color w:val="000000" w:themeColor="text1"/>
        </w:rPr>
        <w:t xml:space="preserve"> ou collaborer à des initiatives de </w:t>
      </w:r>
      <w:r w:rsidR="00944619" w:rsidRPr="00ED1EFC">
        <w:rPr>
          <w:rFonts w:ascii="Arial" w:eastAsiaTheme="minorHAnsi" w:hAnsi="Arial" w:cs="Arial"/>
          <w:color w:val="000000" w:themeColor="text1"/>
        </w:rPr>
        <w:t xml:space="preserve">développement économique local </w:t>
      </w:r>
      <w:r w:rsidR="000F6FE2">
        <w:rPr>
          <w:rFonts w:ascii="Arial" w:eastAsiaTheme="minorHAnsi" w:hAnsi="Arial" w:cs="Arial"/>
        </w:rPr>
        <w:t>comme des</w:t>
      </w:r>
      <w:r w:rsidR="0083592A" w:rsidRPr="00875FBE">
        <w:rPr>
          <w:rFonts w:ascii="Arial" w:eastAsiaTheme="minorHAnsi" w:hAnsi="Arial" w:cs="Arial"/>
        </w:rPr>
        <w:t xml:space="preserve"> formations</w:t>
      </w:r>
      <w:r w:rsidR="000F6FE2">
        <w:rPr>
          <w:rFonts w:ascii="Arial" w:eastAsiaTheme="minorHAnsi" w:hAnsi="Arial" w:cs="Arial"/>
        </w:rPr>
        <w:t xml:space="preserve"> aux entreprises</w:t>
      </w:r>
      <w:r w:rsidR="0083592A" w:rsidRPr="00875FBE">
        <w:rPr>
          <w:rFonts w:ascii="Arial" w:eastAsiaTheme="minorHAnsi" w:hAnsi="Arial" w:cs="Arial"/>
        </w:rPr>
        <w:t xml:space="preserve">, </w:t>
      </w:r>
      <w:r w:rsidR="000F6FE2">
        <w:rPr>
          <w:rFonts w:ascii="Arial" w:eastAsiaTheme="minorHAnsi" w:hAnsi="Arial" w:cs="Arial"/>
        </w:rPr>
        <w:t xml:space="preserve">la </w:t>
      </w:r>
      <w:r w:rsidR="0083592A" w:rsidRPr="00875FBE">
        <w:rPr>
          <w:rFonts w:ascii="Arial" w:eastAsiaTheme="minorHAnsi" w:hAnsi="Arial" w:cs="Arial"/>
        </w:rPr>
        <w:t xml:space="preserve">promotion d’achat local, </w:t>
      </w:r>
      <w:r w:rsidR="000F6FE2">
        <w:rPr>
          <w:rFonts w:ascii="Arial" w:eastAsiaTheme="minorHAnsi" w:hAnsi="Arial" w:cs="Arial"/>
        </w:rPr>
        <w:t xml:space="preserve">des </w:t>
      </w:r>
      <w:r w:rsidR="0083592A" w:rsidRPr="00875FBE">
        <w:rPr>
          <w:rFonts w:ascii="Arial" w:eastAsiaTheme="minorHAnsi" w:hAnsi="Arial" w:cs="Arial"/>
        </w:rPr>
        <w:t xml:space="preserve">opérations de revitalisation de </w:t>
      </w:r>
      <w:proofErr w:type="spellStart"/>
      <w:r w:rsidR="0083592A" w:rsidRPr="00875FBE">
        <w:rPr>
          <w:rFonts w:ascii="Arial" w:eastAsiaTheme="minorHAnsi" w:hAnsi="Arial" w:cs="Arial"/>
        </w:rPr>
        <w:t>centre</w:t>
      </w:r>
      <w:r w:rsidR="000F6FE2">
        <w:rPr>
          <w:rFonts w:ascii="Arial" w:eastAsiaTheme="minorHAnsi" w:hAnsi="Arial" w:cs="Arial"/>
        </w:rPr>
        <w:t>-</w:t>
      </w:r>
      <w:r w:rsidR="0083592A" w:rsidRPr="00875FBE">
        <w:rPr>
          <w:rFonts w:ascii="Arial" w:eastAsiaTheme="minorHAnsi" w:hAnsi="Arial" w:cs="Arial"/>
        </w:rPr>
        <w:t>villes</w:t>
      </w:r>
      <w:proofErr w:type="spellEnd"/>
      <w:r w:rsidR="000F6FE2">
        <w:rPr>
          <w:rFonts w:ascii="Arial" w:eastAsiaTheme="minorHAnsi" w:hAnsi="Arial" w:cs="Arial"/>
        </w:rPr>
        <w:t xml:space="preserve"> et des</w:t>
      </w:r>
      <w:r w:rsidR="0083592A" w:rsidRPr="00875FBE">
        <w:rPr>
          <w:rFonts w:ascii="Arial" w:eastAsiaTheme="minorHAnsi" w:hAnsi="Arial" w:cs="Arial"/>
        </w:rPr>
        <w:t xml:space="preserve"> campagne</w:t>
      </w:r>
      <w:r w:rsidR="000F6FE2">
        <w:rPr>
          <w:rFonts w:ascii="Arial" w:eastAsiaTheme="minorHAnsi" w:hAnsi="Arial" w:cs="Arial"/>
        </w:rPr>
        <w:t>s</w:t>
      </w:r>
      <w:r w:rsidR="0083592A" w:rsidRPr="00875FBE">
        <w:rPr>
          <w:rFonts w:ascii="Arial" w:eastAsiaTheme="minorHAnsi" w:hAnsi="Arial" w:cs="Arial"/>
        </w:rPr>
        <w:t xml:space="preserve"> </w:t>
      </w:r>
      <w:r w:rsidR="000F6FE2">
        <w:rPr>
          <w:rFonts w:ascii="Arial" w:eastAsiaTheme="minorHAnsi" w:hAnsi="Arial" w:cs="Arial"/>
        </w:rPr>
        <w:t>publicitaires.</w:t>
      </w:r>
    </w:p>
    <w:p w14:paraId="16932DFE" w14:textId="275825D1" w:rsidR="00A47162" w:rsidRDefault="00A47162" w:rsidP="00CD0969">
      <w:pPr>
        <w:widowControl w:val="0"/>
        <w:tabs>
          <w:tab w:val="left" w:pos="220"/>
          <w:tab w:val="left" w:pos="720"/>
        </w:tabs>
        <w:autoSpaceDE w:val="0"/>
        <w:autoSpaceDN w:val="0"/>
        <w:adjustRightInd w:val="0"/>
        <w:spacing w:after="0" w:line="240" w:lineRule="auto"/>
        <w:rPr>
          <w:rFonts w:ascii="Arial" w:eastAsiaTheme="minorHAnsi" w:hAnsi="Arial" w:cs="Arial"/>
        </w:rPr>
      </w:pPr>
    </w:p>
    <w:p w14:paraId="1E8FC152" w14:textId="77777777" w:rsidR="008C384A" w:rsidRDefault="008C384A" w:rsidP="0001369E">
      <w:pPr>
        <w:widowControl w:val="0"/>
        <w:tabs>
          <w:tab w:val="left" w:pos="220"/>
          <w:tab w:val="left" w:pos="720"/>
        </w:tabs>
        <w:autoSpaceDE w:val="0"/>
        <w:autoSpaceDN w:val="0"/>
        <w:adjustRightInd w:val="0"/>
        <w:spacing w:after="0" w:line="240" w:lineRule="auto"/>
        <w:rPr>
          <w:rFonts w:ascii="Arial" w:eastAsiaTheme="minorHAnsi" w:hAnsi="Arial" w:cs="Arial"/>
          <w:b/>
          <w:color w:val="000000" w:themeColor="text1"/>
        </w:rPr>
      </w:pPr>
    </w:p>
    <w:p w14:paraId="7CCDFA56" w14:textId="4917511E" w:rsidR="00101631" w:rsidRDefault="00101631" w:rsidP="0001369E">
      <w:pPr>
        <w:widowControl w:val="0"/>
        <w:tabs>
          <w:tab w:val="left" w:pos="220"/>
          <w:tab w:val="left" w:pos="720"/>
        </w:tabs>
        <w:autoSpaceDE w:val="0"/>
        <w:autoSpaceDN w:val="0"/>
        <w:adjustRightInd w:val="0"/>
        <w:spacing w:after="0" w:line="240" w:lineRule="auto"/>
        <w:rPr>
          <w:rFonts w:ascii="Arial" w:eastAsiaTheme="minorHAnsi" w:hAnsi="Arial" w:cs="Arial"/>
          <w:b/>
          <w:color w:val="000000" w:themeColor="text1"/>
        </w:rPr>
      </w:pPr>
      <w:r w:rsidRPr="00ED1EFC">
        <w:rPr>
          <w:rFonts w:ascii="Arial" w:eastAsiaTheme="minorHAnsi" w:hAnsi="Arial" w:cs="Arial"/>
          <w:b/>
          <w:color w:val="000000" w:themeColor="text1"/>
        </w:rPr>
        <w:t>CITATIONS</w:t>
      </w:r>
    </w:p>
    <w:p w14:paraId="677EAA61" w14:textId="0CED285C" w:rsidR="00C33CAB" w:rsidRPr="00213063" w:rsidRDefault="00F50D01" w:rsidP="00F50D01">
      <w:pPr>
        <w:spacing w:line="240" w:lineRule="auto"/>
        <w:rPr>
          <w:rFonts w:ascii="Arial" w:eastAsiaTheme="minorHAnsi" w:hAnsi="Arial" w:cs="Arial"/>
        </w:rPr>
      </w:pPr>
      <w:r w:rsidRPr="00213063">
        <w:rPr>
          <w:rFonts w:ascii="Arial" w:eastAsiaTheme="minorHAnsi" w:hAnsi="Arial" w:cs="Arial"/>
        </w:rPr>
        <w:t xml:space="preserve">« Ces investissements sont très attendus dans le milieu et les SADC et CAE s’assureront de livrer rapidement cette aide au cours des prochaines semaines afin que nous puissions répondre aux besoins urgents de nos clientèles. Le FARR est une solution concrète et je remercie très sincèrement </w:t>
      </w:r>
      <w:r w:rsidR="00E12864" w:rsidRPr="00213063">
        <w:rPr>
          <w:rFonts w:ascii="Arial" w:eastAsiaTheme="minorHAnsi" w:hAnsi="Arial" w:cs="Arial"/>
        </w:rPr>
        <w:t>l’honorable Mélanie Joly</w:t>
      </w:r>
      <w:r w:rsidR="0096424D" w:rsidRPr="00213063">
        <w:rPr>
          <w:rFonts w:ascii="Arial" w:eastAsiaTheme="minorHAnsi" w:hAnsi="Arial" w:cs="Arial"/>
        </w:rPr>
        <w:t>,</w:t>
      </w:r>
      <w:r w:rsidR="00037657">
        <w:rPr>
          <w:rFonts w:ascii="Arial" w:eastAsiaTheme="minorHAnsi" w:hAnsi="Arial" w:cs="Arial"/>
        </w:rPr>
        <w:t xml:space="preserve"> l’honorable Marie-Claude </w:t>
      </w:r>
      <w:proofErr w:type="spellStart"/>
      <w:r w:rsidR="00037657">
        <w:rPr>
          <w:rFonts w:ascii="Arial" w:eastAsiaTheme="minorHAnsi" w:hAnsi="Arial" w:cs="Arial"/>
        </w:rPr>
        <w:t>Bibeau</w:t>
      </w:r>
      <w:proofErr w:type="spellEnd"/>
      <w:r w:rsidR="0096424D" w:rsidRPr="00213063">
        <w:rPr>
          <w:rFonts w:ascii="Arial" w:eastAsiaTheme="minorHAnsi" w:hAnsi="Arial" w:cs="Arial"/>
        </w:rPr>
        <w:t xml:space="preserve"> ainsi que</w:t>
      </w:r>
      <w:r w:rsidR="00F55180">
        <w:rPr>
          <w:rFonts w:ascii="Arial" w:eastAsiaTheme="minorHAnsi" w:hAnsi="Arial" w:cs="Arial"/>
        </w:rPr>
        <w:t xml:space="preserve"> </w:t>
      </w:r>
      <w:r w:rsidR="00F55180" w:rsidRPr="00037657">
        <w:rPr>
          <w:rFonts w:ascii="Arial" w:eastAsiaTheme="minorHAnsi" w:hAnsi="Arial" w:cs="Arial"/>
          <w:color w:val="000000" w:themeColor="text1"/>
        </w:rPr>
        <w:t>Madame</w:t>
      </w:r>
      <w:r w:rsidR="00037657" w:rsidRPr="00037657">
        <w:rPr>
          <w:rFonts w:ascii="Arial" w:eastAsiaTheme="minorHAnsi" w:hAnsi="Arial" w:cs="Arial"/>
          <w:color w:val="000000" w:themeColor="text1"/>
        </w:rPr>
        <w:t xml:space="preserve"> Lyne  Bessette</w:t>
      </w:r>
      <w:r w:rsidR="00323833">
        <w:rPr>
          <w:rFonts w:ascii="Arial" w:eastAsiaTheme="minorHAnsi" w:hAnsi="Arial" w:cs="Arial"/>
        </w:rPr>
        <w:t>,</w:t>
      </w:r>
      <w:r w:rsidRPr="00213063">
        <w:rPr>
          <w:rFonts w:ascii="Arial" w:eastAsiaTheme="minorHAnsi" w:hAnsi="Arial" w:cs="Arial"/>
        </w:rPr>
        <w:t xml:space="preserve"> pour </w:t>
      </w:r>
      <w:r w:rsidR="0096424D" w:rsidRPr="00213063">
        <w:rPr>
          <w:rFonts w:ascii="Arial" w:eastAsiaTheme="minorHAnsi" w:hAnsi="Arial" w:cs="Arial"/>
        </w:rPr>
        <w:t>leur écoute et leur</w:t>
      </w:r>
      <w:r w:rsidRPr="00213063">
        <w:rPr>
          <w:rFonts w:ascii="Arial" w:eastAsiaTheme="minorHAnsi" w:hAnsi="Arial" w:cs="Arial"/>
        </w:rPr>
        <w:t xml:space="preserve"> contribution dans la mise place de cette mesure. Je salue aussi le dévouement et la créativité dont les entrepreneurs de notre région font preuve pour faire face à cette crise</w:t>
      </w:r>
      <w:r w:rsidR="000A2C33" w:rsidRPr="00213063">
        <w:rPr>
          <w:rFonts w:ascii="Arial" w:eastAsiaTheme="minorHAnsi" w:hAnsi="Arial" w:cs="Arial"/>
        </w:rPr>
        <w:t>. </w:t>
      </w:r>
      <w:r w:rsidR="00325510" w:rsidRPr="00213063">
        <w:rPr>
          <w:rFonts w:ascii="Arial" w:eastAsiaTheme="minorHAnsi" w:hAnsi="Arial" w:cs="Arial"/>
        </w:rPr>
        <w:t xml:space="preserve">Le FARR est un appui de plus pour </w:t>
      </w:r>
      <w:r w:rsidR="00213063">
        <w:rPr>
          <w:rFonts w:ascii="Arial" w:eastAsiaTheme="minorHAnsi" w:hAnsi="Arial" w:cs="Arial"/>
        </w:rPr>
        <w:t xml:space="preserve">permettre aux entreprises de demeurer </w:t>
      </w:r>
      <w:r w:rsidR="00325510" w:rsidRPr="00213063">
        <w:rPr>
          <w:rFonts w:ascii="Arial" w:eastAsiaTheme="minorHAnsi" w:hAnsi="Arial" w:cs="Arial"/>
        </w:rPr>
        <w:t>opérationnel</w:t>
      </w:r>
      <w:r w:rsidR="00213063">
        <w:rPr>
          <w:rFonts w:ascii="Arial" w:eastAsiaTheme="minorHAnsi" w:hAnsi="Arial" w:cs="Arial"/>
        </w:rPr>
        <w:t>les</w:t>
      </w:r>
      <w:r w:rsidR="00325510" w:rsidRPr="00213063">
        <w:rPr>
          <w:rFonts w:ascii="Arial" w:eastAsiaTheme="minorHAnsi" w:hAnsi="Arial" w:cs="Arial"/>
        </w:rPr>
        <w:t xml:space="preserve">. </w:t>
      </w:r>
      <w:r w:rsidR="000A2C33" w:rsidRPr="00213063">
        <w:rPr>
          <w:rFonts w:ascii="Arial" w:eastAsiaTheme="minorHAnsi" w:hAnsi="Arial" w:cs="Arial"/>
        </w:rPr>
        <w:t>»</w:t>
      </w:r>
    </w:p>
    <w:p w14:paraId="059B1534" w14:textId="4DA65878" w:rsidR="00F50D01" w:rsidRPr="00325510" w:rsidRDefault="00037657" w:rsidP="00325510">
      <w:pPr>
        <w:spacing w:line="240" w:lineRule="auto"/>
        <w:rPr>
          <w:rStyle w:val="Accentuation"/>
          <w:rFonts w:ascii="Noto Sans" w:eastAsiaTheme="minorHAnsi" w:hAnsi="Noto Sans" w:cs="Arial"/>
          <w:color w:val="333333"/>
          <w:sz w:val="20"/>
          <w:szCs w:val="20"/>
          <w:lang w:val="fr-FR"/>
        </w:rPr>
      </w:pPr>
      <w:r>
        <w:rPr>
          <w:rStyle w:val="Accentuation"/>
          <w:rFonts w:ascii="Noto Sans" w:eastAsiaTheme="minorHAnsi" w:hAnsi="Noto Sans" w:cs="Arial"/>
          <w:color w:val="333333"/>
          <w:sz w:val="20"/>
          <w:szCs w:val="20"/>
          <w:lang w:val="fr-FR"/>
        </w:rPr>
        <w:t xml:space="preserve">Daniel Dumas, président de la SADC des Sources et président </w:t>
      </w:r>
      <w:r w:rsidR="00325510" w:rsidRPr="00325510">
        <w:rPr>
          <w:rStyle w:val="Accentuation"/>
          <w:rFonts w:ascii="Noto Sans" w:eastAsiaTheme="minorHAnsi" w:hAnsi="Noto Sans" w:cs="Arial"/>
          <w:color w:val="333333"/>
          <w:sz w:val="20"/>
          <w:szCs w:val="20"/>
          <w:lang w:val="fr-FR"/>
        </w:rPr>
        <w:t xml:space="preserve">du </w:t>
      </w:r>
      <w:r w:rsidR="00001C32">
        <w:rPr>
          <w:rStyle w:val="Accentuation"/>
          <w:rFonts w:ascii="Noto Sans" w:eastAsiaTheme="minorHAnsi" w:hAnsi="Noto Sans" w:cs="Arial"/>
          <w:color w:val="333333"/>
          <w:sz w:val="20"/>
          <w:szCs w:val="20"/>
          <w:lang w:val="fr-FR"/>
        </w:rPr>
        <w:t>R</w:t>
      </w:r>
      <w:r w:rsidR="00325510" w:rsidRPr="00325510">
        <w:rPr>
          <w:rStyle w:val="Accentuation"/>
          <w:rFonts w:ascii="Noto Sans" w:eastAsiaTheme="minorHAnsi" w:hAnsi="Noto Sans" w:cs="Arial" w:hint="eastAsia"/>
          <w:color w:val="333333"/>
          <w:sz w:val="20"/>
          <w:szCs w:val="20"/>
          <w:lang w:val="fr-FR"/>
        </w:rPr>
        <w:t>é</w:t>
      </w:r>
      <w:r w:rsidR="00325510" w:rsidRPr="00325510">
        <w:rPr>
          <w:rStyle w:val="Accentuation"/>
          <w:rFonts w:ascii="Noto Sans" w:eastAsiaTheme="minorHAnsi" w:hAnsi="Noto Sans" w:cs="Arial"/>
          <w:color w:val="333333"/>
          <w:sz w:val="20"/>
          <w:szCs w:val="20"/>
          <w:lang w:val="fr-FR"/>
        </w:rPr>
        <w:t xml:space="preserve">seau des </w:t>
      </w:r>
      <w:r w:rsidR="00325510">
        <w:rPr>
          <w:rStyle w:val="Accentuation"/>
          <w:rFonts w:ascii="Noto Sans" w:eastAsiaTheme="minorHAnsi" w:hAnsi="Noto Sans" w:cs="Arial"/>
          <w:color w:val="333333"/>
          <w:sz w:val="20"/>
          <w:szCs w:val="20"/>
          <w:lang w:val="fr-FR"/>
        </w:rPr>
        <w:t>SADC et CAE</w:t>
      </w:r>
      <w:r w:rsidR="00325510" w:rsidRPr="00325510">
        <w:rPr>
          <w:rStyle w:val="Accentuation"/>
          <w:rFonts w:ascii="Noto Sans" w:eastAsiaTheme="minorHAnsi" w:hAnsi="Noto Sans" w:cs="Arial"/>
          <w:color w:val="333333"/>
          <w:sz w:val="20"/>
          <w:szCs w:val="20"/>
          <w:lang w:val="fr-FR"/>
        </w:rPr>
        <w:t xml:space="preserve">. </w:t>
      </w:r>
    </w:p>
    <w:p w14:paraId="290277D6" w14:textId="5EBC1100" w:rsidR="00D15C87" w:rsidRPr="00F55180" w:rsidRDefault="00001C32" w:rsidP="00101631">
      <w:pPr>
        <w:pStyle w:val="NormalWeb"/>
        <w:spacing w:before="0" w:beforeAutospacing="0" w:after="150" w:afterAutospacing="0"/>
        <w:rPr>
          <w:rFonts w:ascii="Arial" w:hAnsi="Arial" w:cs="Arial"/>
          <w:bCs/>
          <w:color w:val="000000" w:themeColor="text1"/>
          <w:sz w:val="22"/>
          <w:szCs w:val="22"/>
          <w:lang w:val="fr-CA"/>
        </w:rPr>
      </w:pPr>
      <w:r w:rsidRPr="00001C32">
        <w:rPr>
          <w:rFonts w:ascii="Arial" w:hAnsi="Arial" w:cs="Arial"/>
          <w:bCs/>
          <w:color w:val="000000" w:themeColor="text1"/>
          <w:sz w:val="22"/>
          <w:szCs w:val="22"/>
          <w:lang w:val="fr-CA"/>
        </w:rPr>
        <w:lastRenderedPageBreak/>
        <w:t>« Afin de livrer le Fonds d’aide et de relance régionale, Développement économique Canada pour les régions du Québec peut compter sur la collaboration des SADC et des CAE dont les services de proximité, l’expertise et le dynamisme permettront d’aider les entrepreneurs à relever les défis liés à la COVID-19. Ensemble, nous passerons à travers cette période difficile; retroussons nos manches pour relancer l’économie de nos régions! »</w:t>
      </w:r>
      <w:r w:rsidR="00F55180">
        <w:rPr>
          <w:rFonts w:ascii="Arial" w:hAnsi="Arial" w:cs="Arial"/>
          <w:bCs/>
          <w:color w:val="000000" w:themeColor="text1"/>
          <w:sz w:val="22"/>
          <w:szCs w:val="22"/>
          <w:lang w:val="fr-CA"/>
        </w:rPr>
        <w:br/>
      </w:r>
      <w:r w:rsidRPr="00001C32">
        <w:rPr>
          <w:rFonts w:ascii="Arial" w:hAnsi="Arial" w:cs="Arial"/>
          <w:bCs/>
          <w:color w:val="000000" w:themeColor="text1"/>
          <w:sz w:val="22"/>
          <w:szCs w:val="22"/>
          <w:lang w:val="fr-CA"/>
        </w:rPr>
        <w:br/>
      </w:r>
      <w:r w:rsidRPr="00F55180">
        <w:rPr>
          <w:rStyle w:val="Accentuation"/>
          <w:rFonts w:ascii="Noto Sans" w:hAnsi="Noto Sans" w:cs="Arial"/>
          <w:color w:val="333333"/>
          <w:lang w:val="fr-FR"/>
        </w:rPr>
        <w:t>L’honorable Mélanie Joly, députée d’Ahuntsic-Cartierville, ministre du Développement économique et des Langues officielles et ministre responsable de DEC</w:t>
      </w:r>
      <w:r w:rsidR="00F55180" w:rsidRPr="00F55180">
        <w:rPr>
          <w:rStyle w:val="Accentuation"/>
          <w:rFonts w:ascii="Noto Sans" w:hAnsi="Noto Sans" w:cs="Arial"/>
          <w:color w:val="333333"/>
          <w:lang w:val="fr-FR"/>
        </w:rPr>
        <w:br/>
      </w:r>
    </w:p>
    <w:p w14:paraId="3B0EC7DE" w14:textId="77777777" w:rsidR="00D15C87" w:rsidRDefault="00D15C87" w:rsidP="00D15C87">
      <w:pPr>
        <w:rPr>
          <w:rFonts w:ascii="Arial" w:hAnsi="Arial" w:cs="Arial"/>
        </w:rPr>
      </w:pPr>
      <w:r w:rsidRPr="00CF51A7">
        <w:rPr>
          <w:rFonts w:ascii="Arial" w:hAnsi="Arial" w:cs="Arial"/>
        </w:rPr>
        <w:t>« Je suis fière que le gouvernement fédéral contribue via le réseau des SADC </w:t>
      </w:r>
      <w:r>
        <w:rPr>
          <w:rFonts w:ascii="Arial" w:hAnsi="Arial" w:cs="Arial"/>
        </w:rPr>
        <w:t>et des</w:t>
      </w:r>
      <w:r w:rsidRPr="00CF51A7">
        <w:rPr>
          <w:rFonts w:ascii="Arial" w:hAnsi="Arial" w:cs="Arial"/>
        </w:rPr>
        <w:t xml:space="preserve"> CAE à l’amélioration de la qualité de vie dans nos régions depuis déjà 50 ans. Par l'entremise du nouveau Fonds </w:t>
      </w:r>
      <w:r>
        <w:rPr>
          <w:rFonts w:ascii="Arial" w:hAnsi="Arial" w:cs="Arial"/>
        </w:rPr>
        <w:t xml:space="preserve">d’aide et de </w:t>
      </w:r>
      <w:r w:rsidRPr="00CF51A7">
        <w:rPr>
          <w:rFonts w:ascii="Arial" w:hAnsi="Arial" w:cs="Arial"/>
        </w:rPr>
        <w:t>relance régionale, l’accompagnement professionnel de qualité et le financement conséquent seront plus utiles que jamais pour nos entrepreneurs touristiques, nos jeunes pousses et nos plus petites entreprises. En soutenant nos PME en cette période de pandémie, on répond aussi aux besoins de première nécessité de nos citoyens</w:t>
      </w:r>
      <w:r>
        <w:rPr>
          <w:rFonts w:ascii="Arial" w:hAnsi="Arial" w:cs="Arial"/>
        </w:rPr>
        <w:t>.</w:t>
      </w:r>
      <w:r w:rsidRPr="00CF51A7">
        <w:rPr>
          <w:rFonts w:ascii="Arial" w:hAnsi="Arial" w:cs="Arial"/>
        </w:rPr>
        <w:t xml:space="preserve"> »</w:t>
      </w:r>
    </w:p>
    <w:p w14:paraId="2EFF34CD" w14:textId="4BA656F1" w:rsidR="00101631" w:rsidRDefault="00D15C87" w:rsidP="00D15C87">
      <w:pPr>
        <w:widowControl w:val="0"/>
        <w:tabs>
          <w:tab w:val="left" w:pos="220"/>
          <w:tab w:val="left" w:pos="720"/>
        </w:tabs>
        <w:autoSpaceDE w:val="0"/>
        <w:autoSpaceDN w:val="0"/>
        <w:adjustRightInd w:val="0"/>
        <w:spacing w:after="0" w:line="240" w:lineRule="auto"/>
        <w:rPr>
          <w:rStyle w:val="Accentuation"/>
          <w:rFonts w:ascii="Noto Sans" w:eastAsiaTheme="minorHAnsi" w:hAnsi="Noto Sans"/>
          <w:iCs w:val="0"/>
          <w:color w:val="333333"/>
          <w:sz w:val="20"/>
          <w:szCs w:val="20"/>
          <w:lang w:val="fr-FR"/>
        </w:rPr>
      </w:pPr>
      <w:r w:rsidRPr="00D15C87">
        <w:rPr>
          <w:rStyle w:val="Accentuation"/>
          <w:rFonts w:ascii="Noto Sans" w:eastAsiaTheme="minorHAnsi" w:hAnsi="Noto Sans"/>
          <w:iCs w:val="0"/>
          <w:color w:val="333333"/>
          <w:sz w:val="20"/>
          <w:szCs w:val="20"/>
          <w:lang w:val="fr-FR"/>
        </w:rPr>
        <w:t xml:space="preserve">L’honorable Marie-Claude </w:t>
      </w:r>
      <w:proofErr w:type="spellStart"/>
      <w:r w:rsidRPr="00D15C87">
        <w:rPr>
          <w:rStyle w:val="Accentuation"/>
          <w:rFonts w:ascii="Noto Sans" w:eastAsiaTheme="minorHAnsi" w:hAnsi="Noto Sans"/>
          <w:iCs w:val="0"/>
          <w:color w:val="333333"/>
          <w:sz w:val="20"/>
          <w:szCs w:val="20"/>
          <w:lang w:val="fr-FR"/>
        </w:rPr>
        <w:t>Bibeau</w:t>
      </w:r>
      <w:proofErr w:type="spellEnd"/>
      <w:r w:rsidRPr="00D15C87">
        <w:rPr>
          <w:rStyle w:val="Accentuation"/>
          <w:rFonts w:ascii="Noto Sans" w:eastAsiaTheme="minorHAnsi" w:hAnsi="Noto Sans"/>
          <w:iCs w:val="0"/>
          <w:color w:val="333333"/>
          <w:sz w:val="20"/>
          <w:szCs w:val="20"/>
          <w:lang w:val="fr-FR"/>
        </w:rPr>
        <w:t xml:space="preserve">, députée de Compton‒Stanstead et ministre de l’Agriculture et de l’Agroalimentaire </w:t>
      </w:r>
    </w:p>
    <w:p w14:paraId="47623DC8" w14:textId="77777777" w:rsidR="00D15C87" w:rsidRDefault="00D15C87" w:rsidP="00D15C87">
      <w:pPr>
        <w:widowControl w:val="0"/>
        <w:tabs>
          <w:tab w:val="left" w:pos="220"/>
          <w:tab w:val="left" w:pos="720"/>
        </w:tabs>
        <w:autoSpaceDE w:val="0"/>
        <w:autoSpaceDN w:val="0"/>
        <w:adjustRightInd w:val="0"/>
        <w:spacing w:after="0" w:line="240" w:lineRule="auto"/>
        <w:rPr>
          <w:rStyle w:val="Accentuation"/>
          <w:rFonts w:ascii="Noto Sans" w:eastAsiaTheme="minorHAnsi" w:hAnsi="Noto Sans"/>
          <w:iCs w:val="0"/>
          <w:color w:val="333333"/>
          <w:sz w:val="20"/>
          <w:szCs w:val="20"/>
          <w:lang w:val="fr-FR"/>
        </w:rPr>
      </w:pPr>
    </w:p>
    <w:p w14:paraId="10541213" w14:textId="77777777" w:rsidR="00D15C87" w:rsidRDefault="00D15C87" w:rsidP="00D15C87">
      <w:pPr>
        <w:widowControl w:val="0"/>
        <w:tabs>
          <w:tab w:val="left" w:pos="220"/>
          <w:tab w:val="left" w:pos="720"/>
        </w:tabs>
        <w:autoSpaceDE w:val="0"/>
        <w:autoSpaceDN w:val="0"/>
        <w:adjustRightInd w:val="0"/>
        <w:spacing w:after="0" w:line="240" w:lineRule="auto"/>
        <w:rPr>
          <w:rFonts w:ascii="Arial" w:hAnsi="Arial" w:cs="Arial"/>
        </w:rPr>
      </w:pPr>
      <w:r w:rsidRPr="00CF51A7">
        <w:rPr>
          <w:rFonts w:ascii="Arial" w:hAnsi="Arial" w:cs="Arial"/>
        </w:rPr>
        <w:t xml:space="preserve">« Le financement octroyé́ aux SADC et aux CAE est une excellente nouvelle pour les entreprises de Brome-Missisquoi qui font face </w:t>
      </w:r>
      <w:proofErr w:type="spellStart"/>
      <w:r w:rsidRPr="00CF51A7">
        <w:rPr>
          <w:rFonts w:ascii="Arial" w:hAnsi="Arial" w:cs="Arial"/>
        </w:rPr>
        <w:t>a</w:t>
      </w:r>
      <w:proofErr w:type="spellEnd"/>
      <w:r w:rsidRPr="00CF51A7">
        <w:rPr>
          <w:rFonts w:ascii="Arial" w:hAnsi="Arial" w:cs="Arial"/>
        </w:rPr>
        <w:t xml:space="preserve">̀ cette période extrêmement difficile. Ce soutien permettra aux PME touchées par la COVID-19 qui n'ont pu accéder </w:t>
      </w:r>
      <w:proofErr w:type="spellStart"/>
      <w:r w:rsidRPr="00CF51A7">
        <w:rPr>
          <w:rFonts w:ascii="Arial" w:hAnsi="Arial" w:cs="Arial"/>
        </w:rPr>
        <w:t>a</w:t>
      </w:r>
      <w:proofErr w:type="spellEnd"/>
      <w:r w:rsidRPr="00CF51A7">
        <w:rPr>
          <w:rFonts w:ascii="Arial" w:hAnsi="Arial" w:cs="Arial"/>
        </w:rPr>
        <w:t xml:space="preserve">̀ d'autres mesures d’aide fédérale d’obtenir des appuis financiers pour les aider </w:t>
      </w:r>
      <w:proofErr w:type="spellStart"/>
      <w:r w:rsidRPr="00CF51A7">
        <w:rPr>
          <w:rFonts w:ascii="Arial" w:hAnsi="Arial" w:cs="Arial"/>
        </w:rPr>
        <w:t>a</w:t>
      </w:r>
      <w:proofErr w:type="spellEnd"/>
      <w:r w:rsidRPr="00CF51A7">
        <w:rPr>
          <w:rFonts w:ascii="Arial" w:hAnsi="Arial" w:cs="Arial"/>
        </w:rPr>
        <w:t>̀ demeurer opérationnell</w:t>
      </w:r>
      <w:r>
        <w:rPr>
          <w:rFonts w:ascii="Arial" w:hAnsi="Arial" w:cs="Arial"/>
        </w:rPr>
        <w:t>es</w:t>
      </w:r>
      <w:r w:rsidRPr="00CF51A7">
        <w:rPr>
          <w:rFonts w:ascii="Arial" w:hAnsi="Arial" w:cs="Arial"/>
        </w:rPr>
        <w:t>. »</w:t>
      </w:r>
    </w:p>
    <w:p w14:paraId="1EE90085" w14:textId="0446218C" w:rsidR="00D15C87" w:rsidRPr="00D15C87" w:rsidRDefault="00D15C87" w:rsidP="00D15C87">
      <w:pPr>
        <w:widowControl w:val="0"/>
        <w:tabs>
          <w:tab w:val="left" w:pos="220"/>
          <w:tab w:val="left" w:pos="720"/>
        </w:tabs>
        <w:autoSpaceDE w:val="0"/>
        <w:autoSpaceDN w:val="0"/>
        <w:adjustRightInd w:val="0"/>
        <w:spacing w:after="0" w:line="240" w:lineRule="auto"/>
        <w:rPr>
          <w:rStyle w:val="Accentuation"/>
          <w:rFonts w:ascii="Noto Sans" w:eastAsiaTheme="minorHAnsi" w:hAnsi="Noto Sans"/>
          <w:iCs w:val="0"/>
          <w:color w:val="333333"/>
          <w:sz w:val="20"/>
          <w:szCs w:val="20"/>
          <w:lang w:val="fr-FR"/>
        </w:rPr>
      </w:pPr>
      <w:r w:rsidRPr="00CF51A7">
        <w:rPr>
          <w:rFonts w:ascii="Arial" w:hAnsi="Arial" w:cs="Arial"/>
        </w:rPr>
        <w:br/>
      </w:r>
      <w:r w:rsidRPr="00D15C87">
        <w:rPr>
          <w:rStyle w:val="Accentuation"/>
          <w:rFonts w:ascii="Noto Sans" w:eastAsiaTheme="minorHAnsi" w:hAnsi="Noto Sans"/>
          <w:color w:val="333333"/>
          <w:sz w:val="20"/>
          <w:szCs w:val="20"/>
          <w:lang w:val="fr-FR"/>
        </w:rPr>
        <w:t>Lyne Bessette, députée de Brome‒Missisquoi</w:t>
      </w:r>
    </w:p>
    <w:p w14:paraId="6FE5190B" w14:textId="77777777" w:rsidR="00D15C87" w:rsidRDefault="00D15C87" w:rsidP="00D15C87">
      <w:pPr>
        <w:widowControl w:val="0"/>
        <w:tabs>
          <w:tab w:val="left" w:pos="220"/>
          <w:tab w:val="left" w:pos="720"/>
        </w:tabs>
        <w:autoSpaceDE w:val="0"/>
        <w:autoSpaceDN w:val="0"/>
        <w:adjustRightInd w:val="0"/>
        <w:spacing w:after="0" w:line="240" w:lineRule="auto"/>
        <w:rPr>
          <w:rFonts w:ascii="Arial" w:eastAsiaTheme="minorHAnsi" w:hAnsi="Arial" w:cs="Arial"/>
          <w:b/>
          <w:color w:val="FF0000"/>
        </w:rPr>
      </w:pPr>
    </w:p>
    <w:p w14:paraId="3C5360D6" w14:textId="1D3AA761" w:rsidR="00EB7077" w:rsidRPr="00001C32" w:rsidRDefault="00F50D01" w:rsidP="002D4100">
      <w:pPr>
        <w:pStyle w:val="NormalWeb"/>
        <w:spacing w:before="0" w:beforeAutospacing="0" w:after="150" w:afterAutospacing="0"/>
        <w:rPr>
          <w:rFonts w:ascii="Arial" w:hAnsi="Arial" w:cs="Arial"/>
          <w:b/>
          <w:bCs/>
          <w:sz w:val="22"/>
          <w:szCs w:val="22"/>
          <w:lang w:val="fr-CA"/>
        </w:rPr>
      </w:pPr>
      <w:r w:rsidRPr="00001C32">
        <w:rPr>
          <w:rFonts w:ascii="Arial" w:hAnsi="Arial" w:cs="Arial"/>
          <w:b/>
          <w:bCs/>
          <w:sz w:val="22"/>
          <w:szCs w:val="22"/>
          <w:lang w:val="fr-CA"/>
        </w:rPr>
        <w:t>FAITS EN BREF</w:t>
      </w:r>
    </w:p>
    <w:p w14:paraId="008D2F32" w14:textId="73953B49" w:rsidR="0082564E" w:rsidRPr="00325510" w:rsidRDefault="0082564E" w:rsidP="0082564E">
      <w:pPr>
        <w:pStyle w:val="Paragraphedeliste"/>
        <w:numPr>
          <w:ilvl w:val="0"/>
          <w:numId w:val="2"/>
        </w:numPr>
        <w:spacing w:line="240" w:lineRule="auto"/>
        <w:rPr>
          <w:rFonts w:ascii="Arial" w:eastAsiaTheme="minorHAnsi" w:hAnsi="Arial" w:cs="Arial"/>
          <w:b/>
          <w:color w:val="000000" w:themeColor="text1"/>
        </w:rPr>
      </w:pPr>
      <w:r w:rsidRPr="00325510">
        <w:rPr>
          <w:rFonts w:ascii="Arial" w:eastAsiaTheme="minorHAnsi" w:hAnsi="Arial" w:cs="Arial"/>
        </w:rPr>
        <w:t>Le FARR totalise une enveloppe de 211 M$ au Québec</w:t>
      </w:r>
      <w:r w:rsidR="00A47162" w:rsidRPr="00325510">
        <w:rPr>
          <w:rFonts w:ascii="Arial" w:eastAsiaTheme="minorHAnsi" w:hAnsi="Arial" w:cs="Arial"/>
        </w:rPr>
        <w:t xml:space="preserve"> et est mis en œuvre en collaboration avec DEC</w:t>
      </w:r>
      <w:r w:rsidRPr="00325510">
        <w:rPr>
          <w:rFonts w:ascii="Arial" w:eastAsiaTheme="minorHAnsi" w:hAnsi="Arial" w:cs="Arial"/>
        </w:rPr>
        <w:t xml:space="preserve">, dont 71,3 M$ </w:t>
      </w:r>
      <w:r w:rsidR="00323833">
        <w:rPr>
          <w:rFonts w:ascii="Arial" w:eastAsiaTheme="minorHAnsi" w:hAnsi="Arial" w:cs="Arial"/>
        </w:rPr>
        <w:t>sont</w:t>
      </w:r>
      <w:r w:rsidRPr="00325510">
        <w:rPr>
          <w:rFonts w:ascii="Arial" w:eastAsiaTheme="minorHAnsi" w:hAnsi="Arial" w:cs="Arial"/>
        </w:rPr>
        <w:t xml:space="preserve"> dédié</w:t>
      </w:r>
      <w:r w:rsidR="00323833">
        <w:rPr>
          <w:rFonts w:ascii="Arial" w:eastAsiaTheme="minorHAnsi" w:hAnsi="Arial" w:cs="Arial"/>
        </w:rPr>
        <w:t>s</w:t>
      </w:r>
      <w:r w:rsidRPr="00325510">
        <w:rPr>
          <w:rFonts w:ascii="Arial" w:eastAsiaTheme="minorHAnsi" w:hAnsi="Arial" w:cs="Arial"/>
        </w:rPr>
        <w:t xml:space="preserve"> aux 67 SADC et CAE. </w:t>
      </w:r>
    </w:p>
    <w:p w14:paraId="16D1B6A3" w14:textId="2D9FA3F8" w:rsidR="00615B68" w:rsidRPr="00072073" w:rsidRDefault="00615B68" w:rsidP="00072073">
      <w:pPr>
        <w:pStyle w:val="NormalWeb"/>
        <w:numPr>
          <w:ilvl w:val="0"/>
          <w:numId w:val="2"/>
        </w:numPr>
        <w:spacing w:before="0" w:beforeAutospacing="0" w:after="150" w:afterAutospacing="0"/>
        <w:rPr>
          <w:rFonts w:ascii="Arial" w:hAnsi="Arial" w:cs="Arial"/>
          <w:bCs/>
          <w:color w:val="000000" w:themeColor="text1"/>
          <w:sz w:val="22"/>
          <w:szCs w:val="22"/>
          <w:lang w:val="fr-CA"/>
        </w:rPr>
      </w:pPr>
      <w:r w:rsidRPr="00072073">
        <w:rPr>
          <w:rFonts w:ascii="Arial" w:hAnsi="Arial" w:cs="Arial"/>
          <w:bCs/>
          <w:color w:val="000000" w:themeColor="text1"/>
          <w:sz w:val="22"/>
          <w:szCs w:val="22"/>
          <w:lang w:val="fr-CA"/>
        </w:rPr>
        <w:t>Les</w:t>
      </w:r>
      <w:r w:rsidR="008038E4" w:rsidRPr="00072073">
        <w:rPr>
          <w:rFonts w:ascii="Arial" w:hAnsi="Arial" w:cs="Arial"/>
          <w:bCs/>
          <w:color w:val="000000" w:themeColor="text1"/>
          <w:sz w:val="22"/>
          <w:szCs w:val="22"/>
          <w:lang w:val="fr-CA"/>
        </w:rPr>
        <w:t xml:space="preserve"> 67</w:t>
      </w:r>
      <w:r w:rsidRPr="00072073">
        <w:rPr>
          <w:rFonts w:ascii="Arial" w:hAnsi="Arial" w:cs="Arial"/>
          <w:bCs/>
          <w:color w:val="000000" w:themeColor="text1"/>
          <w:sz w:val="22"/>
          <w:szCs w:val="22"/>
          <w:lang w:val="fr-CA"/>
        </w:rPr>
        <w:t xml:space="preserve"> SADC (Sociétés d’aide au développement des collectivités) et CAE (Centres d’aide aux entreprises) travaillent depuis près de 40 ans au développement économique de leur collectivité. Le </w:t>
      </w:r>
      <w:hyperlink r:id="rId9" w:history="1">
        <w:r w:rsidRPr="008C384A">
          <w:rPr>
            <w:rStyle w:val="Lienhypertexte"/>
            <w:rFonts w:ascii="Arial" w:hAnsi="Arial" w:cs="Arial"/>
            <w:bCs/>
            <w:sz w:val="22"/>
            <w:szCs w:val="22"/>
            <w:lang w:val="fr-CA"/>
          </w:rPr>
          <w:t>Réseau des SADC et CAE</w:t>
        </w:r>
      </w:hyperlink>
      <w:r w:rsidRPr="00072073">
        <w:rPr>
          <w:rFonts w:ascii="Arial" w:hAnsi="Arial" w:cs="Arial"/>
          <w:bCs/>
          <w:color w:val="000000" w:themeColor="text1"/>
          <w:sz w:val="22"/>
          <w:szCs w:val="22"/>
          <w:lang w:val="fr-CA"/>
        </w:rPr>
        <w:t xml:space="preserve"> </w:t>
      </w:r>
      <w:r w:rsidR="008038E4" w:rsidRPr="00072073">
        <w:rPr>
          <w:rFonts w:ascii="Arial" w:hAnsi="Arial" w:cs="Arial"/>
          <w:bCs/>
          <w:color w:val="000000" w:themeColor="text1"/>
          <w:sz w:val="22"/>
          <w:szCs w:val="22"/>
          <w:lang w:val="fr-CA"/>
        </w:rPr>
        <w:t xml:space="preserve">compte </w:t>
      </w:r>
      <w:r w:rsidRPr="00072073">
        <w:rPr>
          <w:rFonts w:ascii="Arial" w:hAnsi="Arial" w:cs="Arial"/>
          <w:bCs/>
          <w:color w:val="000000" w:themeColor="text1"/>
          <w:sz w:val="22"/>
          <w:szCs w:val="22"/>
          <w:lang w:val="fr-CA"/>
        </w:rPr>
        <w:t xml:space="preserve">1 400 professionnels et bénévoles qui soutiennent et financent chaque année plus de 10 000 entrepreneurs et projets de développement économique local. Les SADC et les CAE offrent aux entrepreneurs un accompagnement personnalisé et soutenu et des produits de financement souples et adaptés à leurs besoins. </w:t>
      </w:r>
    </w:p>
    <w:p w14:paraId="56280429" w14:textId="3FCA769A" w:rsidR="0034225B" w:rsidRPr="00325510" w:rsidRDefault="00072073" w:rsidP="0034225B">
      <w:pPr>
        <w:pStyle w:val="NormalWeb"/>
        <w:numPr>
          <w:ilvl w:val="0"/>
          <w:numId w:val="2"/>
        </w:numPr>
        <w:spacing w:before="0" w:beforeAutospacing="0" w:after="150" w:afterAutospacing="0"/>
        <w:rPr>
          <w:rFonts w:ascii="Arial" w:hAnsi="Arial" w:cs="Arial"/>
          <w:color w:val="000000" w:themeColor="text1"/>
          <w:sz w:val="22"/>
          <w:szCs w:val="22"/>
          <w:lang w:val="fr-CA"/>
        </w:rPr>
      </w:pPr>
      <w:r>
        <w:rPr>
          <w:rFonts w:ascii="Arial" w:hAnsi="Arial" w:cs="Arial"/>
          <w:color w:val="000000" w:themeColor="text1"/>
          <w:sz w:val="22"/>
          <w:szCs w:val="22"/>
          <w:lang w:val="fr-CA"/>
        </w:rPr>
        <w:t>DEC</w:t>
      </w:r>
      <w:r w:rsidR="001E0C52" w:rsidRPr="00325510">
        <w:rPr>
          <w:rFonts w:ascii="Arial" w:hAnsi="Arial" w:cs="Arial"/>
          <w:color w:val="000000" w:themeColor="text1"/>
          <w:sz w:val="22"/>
          <w:szCs w:val="22"/>
          <w:lang w:val="fr-CA"/>
        </w:rPr>
        <w:t xml:space="preserve"> est </w:t>
      </w:r>
      <w:r w:rsidR="0034225B" w:rsidRPr="00325510">
        <w:rPr>
          <w:rFonts w:ascii="Arial" w:hAnsi="Arial" w:cs="Arial"/>
          <w:color w:val="000000" w:themeColor="text1"/>
          <w:sz w:val="22"/>
          <w:szCs w:val="22"/>
          <w:lang w:val="fr-CA"/>
        </w:rPr>
        <w:t xml:space="preserve">un </w:t>
      </w:r>
      <w:r w:rsidR="001E0C52" w:rsidRPr="00325510">
        <w:rPr>
          <w:rFonts w:ascii="Arial" w:hAnsi="Arial" w:cs="Arial"/>
          <w:color w:val="000000" w:themeColor="text1"/>
          <w:sz w:val="22"/>
          <w:szCs w:val="22"/>
          <w:lang w:val="fr-CA"/>
        </w:rPr>
        <w:t>partenaire f</w:t>
      </w:r>
      <w:r w:rsidR="001E0C52" w:rsidRPr="00325510">
        <w:rPr>
          <w:rFonts w:ascii="Arial" w:hAnsi="Arial" w:cs="Arial" w:hint="eastAsia"/>
          <w:color w:val="000000" w:themeColor="text1"/>
          <w:sz w:val="22"/>
          <w:szCs w:val="22"/>
          <w:lang w:val="fr-CA"/>
        </w:rPr>
        <w:t>é</w:t>
      </w:r>
      <w:r w:rsidR="001E0C52" w:rsidRPr="00325510">
        <w:rPr>
          <w:rFonts w:ascii="Arial" w:hAnsi="Arial" w:cs="Arial"/>
          <w:color w:val="000000" w:themeColor="text1"/>
          <w:sz w:val="22"/>
          <w:szCs w:val="22"/>
          <w:lang w:val="fr-CA"/>
        </w:rPr>
        <w:t>d</w:t>
      </w:r>
      <w:r w:rsidR="001E0C52" w:rsidRPr="00325510">
        <w:rPr>
          <w:rFonts w:ascii="Arial" w:hAnsi="Arial" w:cs="Arial" w:hint="eastAsia"/>
          <w:color w:val="000000" w:themeColor="text1"/>
          <w:sz w:val="22"/>
          <w:szCs w:val="22"/>
          <w:lang w:val="fr-CA"/>
        </w:rPr>
        <w:t>é</w:t>
      </w:r>
      <w:r w:rsidR="001E0C52" w:rsidRPr="00325510">
        <w:rPr>
          <w:rFonts w:ascii="Arial" w:hAnsi="Arial" w:cs="Arial"/>
          <w:color w:val="000000" w:themeColor="text1"/>
          <w:sz w:val="22"/>
          <w:szCs w:val="22"/>
          <w:lang w:val="fr-CA"/>
        </w:rPr>
        <w:t>ral cl</w:t>
      </w:r>
      <w:r w:rsidR="001E0C52" w:rsidRPr="00325510">
        <w:rPr>
          <w:rFonts w:ascii="Arial" w:hAnsi="Arial" w:cs="Arial" w:hint="eastAsia"/>
          <w:color w:val="000000" w:themeColor="text1"/>
          <w:sz w:val="22"/>
          <w:szCs w:val="22"/>
          <w:lang w:val="fr-CA"/>
        </w:rPr>
        <w:t>é</w:t>
      </w:r>
      <w:r w:rsidR="001E0C52" w:rsidRPr="00325510">
        <w:rPr>
          <w:rFonts w:ascii="Arial" w:hAnsi="Arial" w:cs="Arial"/>
          <w:color w:val="000000" w:themeColor="text1"/>
          <w:sz w:val="22"/>
          <w:szCs w:val="22"/>
          <w:lang w:val="fr-CA"/>
        </w:rPr>
        <w:t xml:space="preserve"> du d</w:t>
      </w:r>
      <w:r w:rsidR="001E0C52" w:rsidRPr="00325510">
        <w:rPr>
          <w:rFonts w:ascii="Arial" w:hAnsi="Arial" w:cs="Arial" w:hint="eastAsia"/>
          <w:color w:val="000000" w:themeColor="text1"/>
          <w:sz w:val="22"/>
          <w:szCs w:val="22"/>
          <w:lang w:val="fr-CA"/>
        </w:rPr>
        <w:t>é</w:t>
      </w:r>
      <w:r w:rsidR="001E0C52" w:rsidRPr="00325510">
        <w:rPr>
          <w:rFonts w:ascii="Arial" w:hAnsi="Arial" w:cs="Arial"/>
          <w:color w:val="000000" w:themeColor="text1"/>
          <w:sz w:val="22"/>
          <w:szCs w:val="22"/>
          <w:lang w:val="fr-CA"/>
        </w:rPr>
        <w:t xml:space="preserve">veloppement </w:t>
      </w:r>
      <w:r w:rsidR="001E0C52" w:rsidRPr="00325510">
        <w:rPr>
          <w:rFonts w:ascii="Arial" w:hAnsi="Arial" w:cs="Arial" w:hint="eastAsia"/>
          <w:color w:val="000000" w:themeColor="text1"/>
          <w:sz w:val="22"/>
          <w:szCs w:val="22"/>
          <w:lang w:val="fr-CA"/>
        </w:rPr>
        <w:t>é</w:t>
      </w:r>
      <w:r w:rsidR="001E0C52" w:rsidRPr="00325510">
        <w:rPr>
          <w:rFonts w:ascii="Arial" w:hAnsi="Arial" w:cs="Arial"/>
          <w:color w:val="000000" w:themeColor="text1"/>
          <w:sz w:val="22"/>
          <w:szCs w:val="22"/>
          <w:lang w:val="fr-CA"/>
        </w:rPr>
        <w:t>conomique r</w:t>
      </w:r>
      <w:r w:rsidR="001E0C52" w:rsidRPr="00325510">
        <w:rPr>
          <w:rFonts w:ascii="Arial" w:hAnsi="Arial" w:cs="Arial" w:hint="eastAsia"/>
          <w:color w:val="000000" w:themeColor="text1"/>
          <w:sz w:val="22"/>
          <w:szCs w:val="22"/>
          <w:lang w:val="fr-CA"/>
        </w:rPr>
        <w:t>é</w:t>
      </w:r>
      <w:r w:rsidR="001E0C52" w:rsidRPr="00325510">
        <w:rPr>
          <w:rFonts w:ascii="Arial" w:hAnsi="Arial" w:cs="Arial"/>
          <w:color w:val="000000" w:themeColor="text1"/>
          <w:sz w:val="22"/>
          <w:szCs w:val="22"/>
          <w:lang w:val="fr-CA"/>
        </w:rPr>
        <w:t>gional au Qu</w:t>
      </w:r>
      <w:r w:rsidR="001E0C52" w:rsidRPr="00325510">
        <w:rPr>
          <w:rFonts w:ascii="Arial" w:hAnsi="Arial" w:cs="Arial" w:hint="eastAsia"/>
          <w:color w:val="000000" w:themeColor="text1"/>
          <w:sz w:val="22"/>
          <w:szCs w:val="22"/>
          <w:lang w:val="fr-CA"/>
        </w:rPr>
        <w:t>é</w:t>
      </w:r>
      <w:r w:rsidR="001E0C52" w:rsidRPr="00325510">
        <w:rPr>
          <w:rFonts w:ascii="Arial" w:hAnsi="Arial" w:cs="Arial"/>
          <w:color w:val="000000" w:themeColor="text1"/>
          <w:sz w:val="22"/>
          <w:szCs w:val="22"/>
          <w:lang w:val="fr-CA"/>
        </w:rPr>
        <w:t xml:space="preserve">bec. </w:t>
      </w:r>
      <w:r w:rsidR="0034225B" w:rsidRPr="00325510">
        <w:rPr>
          <w:rFonts w:ascii="Arial" w:hAnsi="Arial" w:cs="Arial"/>
          <w:color w:val="000000" w:themeColor="text1"/>
          <w:sz w:val="22"/>
          <w:szCs w:val="22"/>
          <w:lang w:val="fr-CA"/>
        </w:rPr>
        <w:t xml:space="preserve">Par l'entremise du </w:t>
      </w:r>
      <w:hyperlink r:id="rId10" w:history="1">
        <w:r w:rsidR="0034225B" w:rsidRPr="00325510">
          <w:rPr>
            <w:rStyle w:val="Lienhypertexte"/>
            <w:rFonts w:ascii="Arial" w:hAnsi="Arial" w:cs="Arial"/>
            <w:sz w:val="22"/>
            <w:szCs w:val="22"/>
            <w:lang w:val="fr-CA"/>
          </w:rPr>
          <w:t>Programme de développement des collectivités</w:t>
        </w:r>
      </w:hyperlink>
      <w:r w:rsidR="0034225B" w:rsidRPr="00325510">
        <w:rPr>
          <w:rFonts w:ascii="Arial" w:hAnsi="Arial" w:cs="Arial"/>
          <w:color w:val="000000" w:themeColor="text1"/>
          <w:sz w:val="22"/>
          <w:szCs w:val="22"/>
          <w:lang w:val="fr-CA"/>
        </w:rPr>
        <w:t>, DEC soutient financièrement le Réseau des SADC et CAE, les </w:t>
      </w:r>
      <w:r w:rsidR="00001C32">
        <w:rPr>
          <w:rFonts w:ascii="Arial" w:hAnsi="Arial" w:cs="Arial"/>
          <w:color w:val="000000" w:themeColor="text1"/>
          <w:sz w:val="22"/>
          <w:szCs w:val="22"/>
          <w:lang w:val="fr-CA"/>
        </w:rPr>
        <w:t>5</w:t>
      </w:r>
      <w:r w:rsidR="0034225B" w:rsidRPr="00325510">
        <w:rPr>
          <w:rFonts w:ascii="Arial" w:hAnsi="Arial" w:cs="Arial"/>
          <w:color w:val="000000" w:themeColor="text1"/>
          <w:sz w:val="22"/>
          <w:szCs w:val="22"/>
          <w:lang w:val="fr-CA"/>
        </w:rPr>
        <w:t>7 </w:t>
      </w:r>
      <w:r w:rsidR="00001C32">
        <w:rPr>
          <w:rFonts w:ascii="Arial" w:hAnsi="Arial" w:cs="Arial"/>
          <w:color w:val="000000" w:themeColor="text1"/>
          <w:sz w:val="22"/>
          <w:szCs w:val="22"/>
          <w:lang w:val="fr-CA"/>
        </w:rPr>
        <w:t>SADC</w:t>
      </w:r>
      <w:r w:rsidR="0034225B" w:rsidRPr="00325510">
        <w:rPr>
          <w:rFonts w:ascii="Arial" w:hAnsi="Arial" w:cs="Arial"/>
          <w:color w:val="000000" w:themeColor="text1"/>
          <w:sz w:val="22"/>
          <w:szCs w:val="22"/>
          <w:lang w:val="fr-CA"/>
        </w:rPr>
        <w:t>, situées dans les régions rurales désignées et les 10 </w:t>
      </w:r>
      <w:r w:rsidR="00001C32">
        <w:rPr>
          <w:rFonts w:ascii="Arial" w:hAnsi="Arial" w:cs="Arial"/>
          <w:color w:val="000000" w:themeColor="text1"/>
          <w:sz w:val="22"/>
          <w:szCs w:val="22"/>
          <w:lang w:val="fr-CA"/>
        </w:rPr>
        <w:t>CAE</w:t>
      </w:r>
      <w:r w:rsidR="0034225B" w:rsidRPr="00325510">
        <w:rPr>
          <w:rFonts w:ascii="Arial" w:hAnsi="Arial" w:cs="Arial"/>
          <w:color w:val="000000" w:themeColor="text1"/>
          <w:sz w:val="22"/>
          <w:szCs w:val="22"/>
          <w:lang w:val="fr-CA"/>
        </w:rPr>
        <w:t>, situés dans des zones périurbaines.</w:t>
      </w:r>
    </w:p>
    <w:p w14:paraId="299F501A" w14:textId="75F11DBC" w:rsidR="001E0C52" w:rsidRPr="00325510" w:rsidRDefault="001E0C52" w:rsidP="0034225B">
      <w:pPr>
        <w:pStyle w:val="NormalWeb"/>
        <w:spacing w:before="0" w:beforeAutospacing="0" w:after="150" w:afterAutospacing="0"/>
        <w:rPr>
          <w:rFonts w:ascii="Arial" w:hAnsi="Arial" w:cs="Arial"/>
          <w:sz w:val="22"/>
          <w:szCs w:val="22"/>
          <w:lang w:val="fr-CA"/>
        </w:rPr>
      </w:pPr>
    </w:p>
    <w:p w14:paraId="6BCC282C" w14:textId="77777777" w:rsidR="007241A8" w:rsidRDefault="00B278AE" w:rsidP="00AD7AFB">
      <w:pPr>
        <w:pStyle w:val="NormalWeb"/>
        <w:spacing w:before="0" w:beforeAutospacing="0" w:after="0" w:afterAutospacing="0"/>
        <w:jc w:val="center"/>
        <w:rPr>
          <w:rFonts w:ascii="Arial" w:hAnsi="Arial" w:cs="Arial"/>
          <w:color w:val="555555"/>
          <w:sz w:val="22"/>
          <w:szCs w:val="22"/>
          <w:lang w:val="fr-CA"/>
        </w:rPr>
      </w:pPr>
      <w:r w:rsidRPr="007453A0">
        <w:rPr>
          <w:rFonts w:ascii="Arial" w:hAnsi="Arial" w:cs="Arial"/>
          <w:color w:val="555555"/>
          <w:sz w:val="22"/>
          <w:szCs w:val="22"/>
          <w:lang w:val="fr-CA"/>
        </w:rPr>
        <w:t>-30-</w:t>
      </w:r>
    </w:p>
    <w:p w14:paraId="443AF750" w14:textId="77777777" w:rsidR="002A6D52" w:rsidRDefault="002A6D52" w:rsidP="001F21CC">
      <w:pPr>
        <w:pStyle w:val="NormalWeb"/>
        <w:spacing w:before="0" w:beforeAutospacing="0" w:after="0" w:afterAutospacing="0"/>
        <w:rPr>
          <w:rFonts w:ascii="Arial" w:eastAsia="Times New Roman" w:hAnsi="Arial" w:cs="Arial"/>
          <w:b/>
          <w:sz w:val="22"/>
          <w:szCs w:val="22"/>
          <w:lang w:val="fr-CA"/>
        </w:rPr>
      </w:pPr>
    </w:p>
    <w:p w14:paraId="252E95F3" w14:textId="77777777" w:rsidR="002A6D52" w:rsidRDefault="002A6D52" w:rsidP="001F21CC">
      <w:pPr>
        <w:pStyle w:val="NormalWeb"/>
        <w:spacing w:before="0" w:beforeAutospacing="0" w:after="0" w:afterAutospacing="0"/>
        <w:rPr>
          <w:rFonts w:ascii="Arial" w:eastAsia="Times New Roman" w:hAnsi="Arial" w:cs="Arial"/>
          <w:b/>
          <w:sz w:val="22"/>
          <w:szCs w:val="22"/>
          <w:lang w:val="fr-CA"/>
        </w:rPr>
      </w:pPr>
    </w:p>
    <w:p w14:paraId="67E0FC1D" w14:textId="4EDF24D0" w:rsidR="001F21CC" w:rsidRPr="00325510" w:rsidRDefault="00B278AE" w:rsidP="001F21CC">
      <w:pPr>
        <w:pStyle w:val="NormalWeb"/>
        <w:spacing w:before="0" w:beforeAutospacing="0" w:after="0" w:afterAutospacing="0"/>
        <w:rPr>
          <w:rFonts w:ascii="Arial" w:hAnsi="Arial" w:cs="Arial"/>
          <w:b/>
          <w:color w:val="FF0000"/>
          <w:sz w:val="22"/>
          <w:szCs w:val="22"/>
          <w:lang w:val="fr-CA"/>
        </w:rPr>
      </w:pPr>
      <w:r w:rsidRPr="00325510">
        <w:rPr>
          <w:rFonts w:ascii="Arial" w:eastAsia="Times New Roman" w:hAnsi="Arial" w:cs="Arial"/>
          <w:b/>
          <w:sz w:val="22"/>
          <w:szCs w:val="22"/>
          <w:lang w:val="fr-CA"/>
        </w:rPr>
        <w:t>Renseignements :</w:t>
      </w:r>
      <w:r w:rsidR="00D35F00" w:rsidRPr="00325510">
        <w:rPr>
          <w:rFonts w:ascii="Arial" w:eastAsia="Times New Roman" w:hAnsi="Arial" w:cs="Arial"/>
          <w:b/>
          <w:sz w:val="22"/>
          <w:szCs w:val="22"/>
          <w:lang w:val="fr-CA"/>
        </w:rPr>
        <w:t xml:space="preserve"> </w:t>
      </w:r>
    </w:p>
    <w:p w14:paraId="4540C2BF" w14:textId="10079487" w:rsidR="002A6D52" w:rsidRDefault="002A6D52" w:rsidP="002A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HAnsi" w:hAnsi="Arial" w:cs="Arial"/>
          <w:color w:val="000000" w:themeColor="text1"/>
        </w:rPr>
      </w:pPr>
      <w:r>
        <w:rPr>
          <w:rFonts w:ascii="Arial" w:eastAsiaTheme="minorHAnsi" w:hAnsi="Arial" w:cs="Arial"/>
          <w:color w:val="000000" w:themeColor="text1"/>
        </w:rPr>
        <w:t>Marc Grimard, directeur général</w:t>
      </w:r>
      <w:r w:rsidR="0053683E">
        <w:rPr>
          <w:rFonts w:ascii="Arial" w:eastAsiaTheme="minorHAnsi" w:hAnsi="Arial" w:cs="Arial"/>
          <w:color w:val="000000" w:themeColor="text1"/>
        </w:rPr>
        <w:tab/>
      </w:r>
      <w:r w:rsidR="0053683E">
        <w:rPr>
          <w:rFonts w:ascii="Arial" w:eastAsiaTheme="minorHAnsi" w:hAnsi="Arial" w:cs="Arial"/>
          <w:color w:val="000000" w:themeColor="text1"/>
        </w:rPr>
        <w:tab/>
      </w:r>
      <w:r w:rsidR="0053683E">
        <w:rPr>
          <w:rFonts w:ascii="Arial" w:eastAsiaTheme="minorHAnsi" w:hAnsi="Arial" w:cs="Arial"/>
          <w:color w:val="000000" w:themeColor="text1"/>
        </w:rPr>
        <w:tab/>
        <w:t>Réal Jr Desautels</w:t>
      </w:r>
    </w:p>
    <w:p w14:paraId="180560A5" w14:textId="14655F59" w:rsidR="007B1F62" w:rsidRDefault="007B1F62" w:rsidP="002A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HAnsi" w:hAnsi="Arial" w:cs="Arial"/>
          <w:color w:val="000000" w:themeColor="text1"/>
        </w:rPr>
      </w:pPr>
      <w:r>
        <w:rPr>
          <w:rFonts w:ascii="Arial" w:eastAsiaTheme="minorHAnsi" w:hAnsi="Arial" w:cs="Arial"/>
          <w:color w:val="000000" w:themeColor="text1"/>
        </w:rPr>
        <w:t>Représentant régional des SADC et CAE de l’Estrie</w:t>
      </w:r>
      <w:r w:rsidR="0053683E">
        <w:rPr>
          <w:rFonts w:ascii="Arial" w:eastAsiaTheme="minorHAnsi" w:hAnsi="Arial" w:cs="Arial"/>
          <w:color w:val="000000" w:themeColor="text1"/>
        </w:rPr>
        <w:tab/>
        <w:t>Directeur général</w:t>
      </w:r>
    </w:p>
    <w:p w14:paraId="607BF300" w14:textId="5514A75C" w:rsidR="002A6D52" w:rsidRDefault="002A6D52" w:rsidP="002A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HAnsi" w:hAnsi="Arial" w:cs="Arial"/>
          <w:color w:val="000000" w:themeColor="text1"/>
        </w:rPr>
      </w:pPr>
      <w:r>
        <w:rPr>
          <w:rFonts w:ascii="Arial" w:eastAsiaTheme="minorHAnsi" w:hAnsi="Arial" w:cs="Arial"/>
          <w:color w:val="000000" w:themeColor="text1"/>
        </w:rPr>
        <w:t>SADC des Sources</w:t>
      </w:r>
      <w:r w:rsidR="0053683E">
        <w:rPr>
          <w:rFonts w:ascii="Arial" w:eastAsiaTheme="minorHAnsi" w:hAnsi="Arial" w:cs="Arial"/>
          <w:color w:val="000000" w:themeColor="text1"/>
        </w:rPr>
        <w:tab/>
      </w:r>
      <w:r w:rsidR="0053683E">
        <w:rPr>
          <w:rFonts w:ascii="Arial" w:eastAsiaTheme="minorHAnsi" w:hAnsi="Arial" w:cs="Arial"/>
          <w:color w:val="000000" w:themeColor="text1"/>
        </w:rPr>
        <w:tab/>
      </w:r>
      <w:r w:rsidR="0053683E">
        <w:rPr>
          <w:rFonts w:ascii="Arial" w:eastAsiaTheme="minorHAnsi" w:hAnsi="Arial" w:cs="Arial"/>
          <w:color w:val="000000" w:themeColor="text1"/>
        </w:rPr>
        <w:tab/>
      </w:r>
      <w:r w:rsidR="0053683E">
        <w:rPr>
          <w:rFonts w:ascii="Arial" w:eastAsiaTheme="minorHAnsi" w:hAnsi="Arial" w:cs="Arial"/>
          <w:color w:val="000000" w:themeColor="text1"/>
        </w:rPr>
        <w:tab/>
        <w:t>CAE Memphrémagog</w:t>
      </w:r>
    </w:p>
    <w:p w14:paraId="0E262A22" w14:textId="35699905" w:rsidR="002A6D52" w:rsidRPr="0053683E" w:rsidRDefault="00D030BF" w:rsidP="002A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HAnsi" w:hAnsi="Arial" w:cs="Arial"/>
          <w:color w:val="000000" w:themeColor="text1"/>
        </w:rPr>
      </w:pPr>
      <w:hyperlink r:id="rId11" w:history="1">
        <w:r w:rsidR="002A6D52" w:rsidRPr="0053683E">
          <w:rPr>
            <w:rStyle w:val="Lienhypertexte"/>
            <w:rFonts w:ascii="Arial" w:eastAsiaTheme="minorHAnsi" w:hAnsi="Arial" w:cs="Arial"/>
          </w:rPr>
          <w:t>mgrimard@sadcdessources.com</w:t>
        </w:r>
      </w:hyperlink>
      <w:r w:rsidR="002A6D52" w:rsidRPr="0053683E">
        <w:rPr>
          <w:rFonts w:ascii="Arial" w:eastAsiaTheme="minorHAnsi" w:hAnsi="Arial" w:cs="Arial"/>
          <w:color w:val="000000" w:themeColor="text1"/>
        </w:rPr>
        <w:t xml:space="preserve">    </w:t>
      </w:r>
      <w:r w:rsidR="0053683E">
        <w:rPr>
          <w:rFonts w:ascii="Arial" w:eastAsiaTheme="minorHAnsi" w:hAnsi="Arial" w:cs="Arial"/>
          <w:color w:val="000000" w:themeColor="text1"/>
        </w:rPr>
        <w:tab/>
      </w:r>
      <w:r w:rsidR="0053683E">
        <w:rPr>
          <w:rFonts w:ascii="Arial" w:eastAsiaTheme="minorHAnsi" w:hAnsi="Arial" w:cs="Arial"/>
          <w:color w:val="000000" w:themeColor="text1"/>
        </w:rPr>
        <w:tab/>
      </w:r>
      <w:r w:rsidR="0053683E" w:rsidRPr="0053683E">
        <w:rPr>
          <w:rFonts w:ascii="Arial" w:eastAsiaTheme="minorHAnsi" w:hAnsi="Arial" w:cs="Arial"/>
          <w:color w:val="000000" w:themeColor="text1"/>
        </w:rPr>
        <w:tab/>
      </w:r>
      <w:hyperlink r:id="rId12" w:history="1">
        <w:r w:rsidR="0053683E" w:rsidRPr="009A6E21">
          <w:rPr>
            <w:rStyle w:val="Lienhypertexte"/>
            <w:rFonts w:ascii="Arial" w:eastAsiaTheme="minorHAnsi" w:hAnsi="Arial" w:cs="Arial"/>
          </w:rPr>
          <w:t>real.desautels@caememphremagog.ca</w:t>
        </w:r>
      </w:hyperlink>
      <w:r w:rsidR="0053683E">
        <w:rPr>
          <w:rFonts w:ascii="Arial" w:eastAsiaTheme="minorHAnsi" w:hAnsi="Arial" w:cs="Arial"/>
          <w:color w:val="000000" w:themeColor="text1"/>
        </w:rPr>
        <w:t xml:space="preserve"> </w:t>
      </w:r>
    </w:p>
    <w:p w14:paraId="39881EF9" w14:textId="77777777" w:rsidR="0053683E" w:rsidRPr="0053683E" w:rsidRDefault="0053683E" w:rsidP="002A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HAnsi" w:hAnsi="Arial" w:cs="Arial"/>
          <w:color w:val="000000" w:themeColor="text1"/>
        </w:rPr>
      </w:pPr>
    </w:p>
    <w:sectPr w:rsidR="0053683E" w:rsidRPr="0053683E" w:rsidSect="002A6D52">
      <w:pgSz w:w="12240" w:h="15840"/>
      <w:pgMar w:top="851" w:right="118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730BF" w14:textId="77777777" w:rsidR="00D030BF" w:rsidRDefault="00D030BF" w:rsidP="0083592A">
      <w:pPr>
        <w:spacing w:after="0" w:line="240" w:lineRule="auto"/>
      </w:pPr>
      <w:r>
        <w:separator/>
      </w:r>
    </w:p>
  </w:endnote>
  <w:endnote w:type="continuationSeparator" w:id="0">
    <w:p w14:paraId="3FAD6A12" w14:textId="77777777" w:rsidR="00D030BF" w:rsidRDefault="00D030BF" w:rsidP="0083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BA547" w14:textId="77777777" w:rsidR="00D030BF" w:rsidRDefault="00D030BF" w:rsidP="0083592A">
      <w:pPr>
        <w:spacing w:after="0" w:line="240" w:lineRule="auto"/>
      </w:pPr>
      <w:r>
        <w:separator/>
      </w:r>
    </w:p>
  </w:footnote>
  <w:footnote w:type="continuationSeparator" w:id="0">
    <w:p w14:paraId="579DBCAD" w14:textId="77777777" w:rsidR="00D030BF" w:rsidRDefault="00D030BF" w:rsidP="00835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CC4DF0"/>
    <w:multiLevelType w:val="hybridMultilevel"/>
    <w:tmpl w:val="6A501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4A49AC"/>
    <w:multiLevelType w:val="multilevel"/>
    <w:tmpl w:val="3996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C241B"/>
    <w:multiLevelType w:val="hybridMultilevel"/>
    <w:tmpl w:val="FF04D1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3A"/>
    <w:rsid w:val="00001C32"/>
    <w:rsid w:val="0001369E"/>
    <w:rsid w:val="00015AF9"/>
    <w:rsid w:val="00017C0B"/>
    <w:rsid w:val="00037657"/>
    <w:rsid w:val="00072073"/>
    <w:rsid w:val="00092360"/>
    <w:rsid w:val="000A078B"/>
    <w:rsid w:val="000A2C33"/>
    <w:rsid w:val="000F6FE2"/>
    <w:rsid w:val="00101631"/>
    <w:rsid w:val="001052B9"/>
    <w:rsid w:val="001348AD"/>
    <w:rsid w:val="00144C7A"/>
    <w:rsid w:val="001E0C52"/>
    <w:rsid w:val="001F12B1"/>
    <w:rsid w:val="001F21CC"/>
    <w:rsid w:val="00213063"/>
    <w:rsid w:val="002A6D52"/>
    <w:rsid w:val="002D184E"/>
    <w:rsid w:val="002D4100"/>
    <w:rsid w:val="00323833"/>
    <w:rsid w:val="00325510"/>
    <w:rsid w:val="0034092F"/>
    <w:rsid w:val="0034225B"/>
    <w:rsid w:val="00362ABE"/>
    <w:rsid w:val="003775CA"/>
    <w:rsid w:val="0037798F"/>
    <w:rsid w:val="00400D06"/>
    <w:rsid w:val="004022E1"/>
    <w:rsid w:val="0041548A"/>
    <w:rsid w:val="00472F81"/>
    <w:rsid w:val="0049372B"/>
    <w:rsid w:val="004A1068"/>
    <w:rsid w:val="004A63AF"/>
    <w:rsid w:val="004B37F1"/>
    <w:rsid w:val="004C1D9E"/>
    <w:rsid w:val="004E4F28"/>
    <w:rsid w:val="0053683E"/>
    <w:rsid w:val="005518B2"/>
    <w:rsid w:val="00566D93"/>
    <w:rsid w:val="0058129E"/>
    <w:rsid w:val="005B1BE8"/>
    <w:rsid w:val="005B68EE"/>
    <w:rsid w:val="00615B68"/>
    <w:rsid w:val="006237B8"/>
    <w:rsid w:val="006427B6"/>
    <w:rsid w:val="00681F9D"/>
    <w:rsid w:val="006B1AA6"/>
    <w:rsid w:val="007111DE"/>
    <w:rsid w:val="007241A8"/>
    <w:rsid w:val="007453A0"/>
    <w:rsid w:val="0076756C"/>
    <w:rsid w:val="00797F3C"/>
    <w:rsid w:val="007B1F62"/>
    <w:rsid w:val="007C0645"/>
    <w:rsid w:val="007C1A05"/>
    <w:rsid w:val="007C6D48"/>
    <w:rsid w:val="007C730B"/>
    <w:rsid w:val="007E4035"/>
    <w:rsid w:val="007E4D16"/>
    <w:rsid w:val="008038E4"/>
    <w:rsid w:val="0081193A"/>
    <w:rsid w:val="0082564E"/>
    <w:rsid w:val="0083592A"/>
    <w:rsid w:val="00845A15"/>
    <w:rsid w:val="0084712D"/>
    <w:rsid w:val="0086478F"/>
    <w:rsid w:val="00875FBE"/>
    <w:rsid w:val="00877555"/>
    <w:rsid w:val="008A1F6E"/>
    <w:rsid w:val="008C384A"/>
    <w:rsid w:val="009071EE"/>
    <w:rsid w:val="00944619"/>
    <w:rsid w:val="00950DA9"/>
    <w:rsid w:val="0096424D"/>
    <w:rsid w:val="00981D1B"/>
    <w:rsid w:val="0099417F"/>
    <w:rsid w:val="009E2329"/>
    <w:rsid w:val="00A47162"/>
    <w:rsid w:val="00A57BBE"/>
    <w:rsid w:val="00A64EE3"/>
    <w:rsid w:val="00A66D00"/>
    <w:rsid w:val="00A9191F"/>
    <w:rsid w:val="00AB006C"/>
    <w:rsid w:val="00AC16E0"/>
    <w:rsid w:val="00AD3A89"/>
    <w:rsid w:val="00AD7AFB"/>
    <w:rsid w:val="00AE7A76"/>
    <w:rsid w:val="00B05DE7"/>
    <w:rsid w:val="00B278AE"/>
    <w:rsid w:val="00B32710"/>
    <w:rsid w:val="00B9011E"/>
    <w:rsid w:val="00BD645C"/>
    <w:rsid w:val="00BE6A12"/>
    <w:rsid w:val="00C14B56"/>
    <w:rsid w:val="00C31887"/>
    <w:rsid w:val="00C33CAB"/>
    <w:rsid w:val="00CD0969"/>
    <w:rsid w:val="00CD2E2B"/>
    <w:rsid w:val="00D0116B"/>
    <w:rsid w:val="00D030BF"/>
    <w:rsid w:val="00D15C87"/>
    <w:rsid w:val="00D24F44"/>
    <w:rsid w:val="00D34723"/>
    <w:rsid w:val="00D35F00"/>
    <w:rsid w:val="00D51FCC"/>
    <w:rsid w:val="00D73EBB"/>
    <w:rsid w:val="00D860B6"/>
    <w:rsid w:val="00DA43BE"/>
    <w:rsid w:val="00DD5169"/>
    <w:rsid w:val="00E12864"/>
    <w:rsid w:val="00E166CB"/>
    <w:rsid w:val="00E7045D"/>
    <w:rsid w:val="00E76F3C"/>
    <w:rsid w:val="00E82B19"/>
    <w:rsid w:val="00EB088E"/>
    <w:rsid w:val="00EB7077"/>
    <w:rsid w:val="00ED1EFC"/>
    <w:rsid w:val="00EE52DF"/>
    <w:rsid w:val="00F00EDB"/>
    <w:rsid w:val="00F13BDF"/>
    <w:rsid w:val="00F37B81"/>
    <w:rsid w:val="00F40722"/>
    <w:rsid w:val="00F50D01"/>
    <w:rsid w:val="00F55180"/>
    <w:rsid w:val="00F8541A"/>
    <w:rsid w:val="00F952CB"/>
    <w:rsid w:val="00F97FFE"/>
    <w:rsid w:val="00FB7C61"/>
    <w:rsid w:val="00FD74A4"/>
    <w:rsid w:val="00FF703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CD585"/>
  <w15:docId w15:val="{27C79306-A8D6-4531-9E71-B2B985D7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3A"/>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756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756C"/>
    <w:rPr>
      <w:rFonts w:ascii="Lucida Grande" w:eastAsia="Calibri" w:hAnsi="Lucida Grande" w:cs="Lucida Grande"/>
      <w:sz w:val="18"/>
      <w:szCs w:val="18"/>
    </w:rPr>
  </w:style>
  <w:style w:type="paragraph" w:styleId="NormalWeb">
    <w:name w:val="Normal (Web)"/>
    <w:basedOn w:val="Normal"/>
    <w:uiPriority w:val="99"/>
    <w:unhideWhenUsed/>
    <w:rsid w:val="00B278AE"/>
    <w:pPr>
      <w:spacing w:before="100" w:beforeAutospacing="1" w:after="100" w:afterAutospacing="1" w:line="240" w:lineRule="auto"/>
    </w:pPr>
    <w:rPr>
      <w:rFonts w:ascii="Times" w:eastAsiaTheme="minorHAnsi" w:hAnsi="Times"/>
      <w:sz w:val="20"/>
      <w:szCs w:val="20"/>
      <w:lang w:val="en-US"/>
    </w:rPr>
  </w:style>
  <w:style w:type="character" w:styleId="Lienhypertexte">
    <w:name w:val="Hyperlink"/>
    <w:basedOn w:val="Policepardfaut"/>
    <w:uiPriority w:val="99"/>
    <w:unhideWhenUsed/>
    <w:rsid w:val="00B278AE"/>
    <w:rPr>
      <w:color w:val="0000FF"/>
      <w:u w:val="single"/>
    </w:rPr>
  </w:style>
  <w:style w:type="paragraph" w:styleId="En-tte">
    <w:name w:val="header"/>
    <w:basedOn w:val="Normal"/>
    <w:link w:val="En-tteCar"/>
    <w:uiPriority w:val="99"/>
    <w:unhideWhenUsed/>
    <w:rsid w:val="0083592A"/>
    <w:pPr>
      <w:tabs>
        <w:tab w:val="center" w:pos="4320"/>
        <w:tab w:val="right" w:pos="8640"/>
      </w:tabs>
      <w:spacing w:after="0" w:line="240" w:lineRule="auto"/>
    </w:pPr>
  </w:style>
  <w:style w:type="character" w:customStyle="1" w:styleId="En-tteCar">
    <w:name w:val="En-tête Car"/>
    <w:basedOn w:val="Policepardfaut"/>
    <w:link w:val="En-tte"/>
    <w:uiPriority w:val="99"/>
    <w:rsid w:val="0083592A"/>
    <w:rPr>
      <w:rFonts w:ascii="Calibri" w:eastAsia="Calibri" w:hAnsi="Calibri" w:cs="Times New Roman"/>
    </w:rPr>
  </w:style>
  <w:style w:type="paragraph" w:styleId="Pieddepage">
    <w:name w:val="footer"/>
    <w:basedOn w:val="Normal"/>
    <w:link w:val="PieddepageCar"/>
    <w:uiPriority w:val="99"/>
    <w:unhideWhenUsed/>
    <w:rsid w:val="0083592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3592A"/>
    <w:rPr>
      <w:rFonts w:ascii="Calibri" w:eastAsia="Calibri" w:hAnsi="Calibri" w:cs="Times New Roman"/>
    </w:rPr>
  </w:style>
  <w:style w:type="character" w:styleId="Accentuation">
    <w:name w:val="Emphasis"/>
    <w:basedOn w:val="Policepardfaut"/>
    <w:uiPriority w:val="20"/>
    <w:qFormat/>
    <w:rsid w:val="00101631"/>
    <w:rPr>
      <w:i/>
      <w:iCs/>
    </w:rPr>
  </w:style>
  <w:style w:type="character" w:customStyle="1" w:styleId="Mentionnonrsolue1">
    <w:name w:val="Mention non résolue1"/>
    <w:basedOn w:val="Policepardfaut"/>
    <w:uiPriority w:val="99"/>
    <w:semiHidden/>
    <w:unhideWhenUsed/>
    <w:rsid w:val="00F50D01"/>
    <w:rPr>
      <w:color w:val="605E5C"/>
      <w:shd w:val="clear" w:color="auto" w:fill="E1DFDD"/>
    </w:rPr>
  </w:style>
  <w:style w:type="paragraph" w:styleId="Paragraphedeliste">
    <w:name w:val="List Paragraph"/>
    <w:basedOn w:val="Normal"/>
    <w:uiPriority w:val="34"/>
    <w:qFormat/>
    <w:rsid w:val="00F50D01"/>
    <w:pPr>
      <w:ind w:left="720"/>
      <w:contextualSpacing/>
    </w:pPr>
  </w:style>
  <w:style w:type="character" w:styleId="Lienhypertextesuivivisit">
    <w:name w:val="FollowedHyperlink"/>
    <w:basedOn w:val="Policepardfaut"/>
    <w:uiPriority w:val="99"/>
    <w:semiHidden/>
    <w:unhideWhenUsed/>
    <w:rsid w:val="000A2C33"/>
    <w:rPr>
      <w:color w:val="954F72" w:themeColor="followedHyperlink"/>
      <w:u w:val="single"/>
    </w:rPr>
  </w:style>
  <w:style w:type="character" w:styleId="Marquedecommentaire">
    <w:name w:val="annotation reference"/>
    <w:basedOn w:val="Policepardfaut"/>
    <w:uiPriority w:val="99"/>
    <w:semiHidden/>
    <w:unhideWhenUsed/>
    <w:rsid w:val="0049372B"/>
    <w:rPr>
      <w:sz w:val="16"/>
      <w:szCs w:val="16"/>
    </w:rPr>
  </w:style>
  <w:style w:type="paragraph" w:styleId="Commentaire">
    <w:name w:val="annotation text"/>
    <w:basedOn w:val="Normal"/>
    <w:link w:val="CommentaireCar"/>
    <w:uiPriority w:val="99"/>
    <w:semiHidden/>
    <w:unhideWhenUsed/>
    <w:rsid w:val="0049372B"/>
    <w:pPr>
      <w:spacing w:line="240" w:lineRule="auto"/>
    </w:pPr>
    <w:rPr>
      <w:sz w:val="20"/>
      <w:szCs w:val="20"/>
    </w:rPr>
  </w:style>
  <w:style w:type="character" w:customStyle="1" w:styleId="CommentaireCar">
    <w:name w:val="Commentaire Car"/>
    <w:basedOn w:val="Policepardfaut"/>
    <w:link w:val="Commentaire"/>
    <w:uiPriority w:val="99"/>
    <w:semiHidden/>
    <w:rsid w:val="0049372B"/>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9372B"/>
    <w:rPr>
      <w:b/>
      <w:bCs/>
    </w:rPr>
  </w:style>
  <w:style w:type="character" w:customStyle="1" w:styleId="ObjetducommentaireCar">
    <w:name w:val="Objet du commentaire Car"/>
    <w:basedOn w:val="CommentaireCar"/>
    <w:link w:val="Objetducommentaire"/>
    <w:uiPriority w:val="99"/>
    <w:semiHidden/>
    <w:rsid w:val="0049372B"/>
    <w:rPr>
      <w:rFonts w:ascii="Calibri" w:eastAsia="Calibri" w:hAnsi="Calibri" w:cs="Times New Roman"/>
      <w:b/>
      <w:bCs/>
      <w:sz w:val="20"/>
      <w:szCs w:val="20"/>
    </w:rPr>
  </w:style>
  <w:style w:type="paragraph" w:styleId="Rvision">
    <w:name w:val="Revision"/>
    <w:hidden/>
    <w:uiPriority w:val="99"/>
    <w:semiHidden/>
    <w:rsid w:val="0082564E"/>
    <w:pPr>
      <w:spacing w:after="0" w:line="240" w:lineRule="auto"/>
    </w:pPr>
    <w:rPr>
      <w:rFonts w:ascii="Calibri" w:eastAsia="Calibri" w:hAnsi="Calibri" w:cs="Times New Roman"/>
    </w:rPr>
  </w:style>
  <w:style w:type="paragraph" w:customStyle="1" w:styleId="c1">
    <w:name w:val="c1"/>
    <w:basedOn w:val="Normal"/>
    <w:rsid w:val="0034225B"/>
    <w:pPr>
      <w:spacing w:before="100" w:beforeAutospacing="1" w:after="100" w:afterAutospacing="1" w:line="240" w:lineRule="auto"/>
    </w:pPr>
    <w:rPr>
      <w:rFonts w:ascii="Times New Roman" w:eastAsia="Times New Roman" w:hAnsi="Times New Roman"/>
      <w:sz w:val="24"/>
      <w:szCs w:val="24"/>
      <w:lang w:eastAsia="fr-CA"/>
    </w:rPr>
  </w:style>
  <w:style w:type="character" w:styleId="lev">
    <w:name w:val="Strong"/>
    <w:basedOn w:val="Policepardfaut"/>
    <w:uiPriority w:val="22"/>
    <w:qFormat/>
    <w:rsid w:val="00615B68"/>
    <w:rPr>
      <w:b/>
      <w:bCs/>
    </w:rPr>
  </w:style>
  <w:style w:type="character" w:customStyle="1" w:styleId="Mentionnonrsolue2">
    <w:name w:val="Mention non résolue2"/>
    <w:basedOn w:val="Policepardfaut"/>
    <w:uiPriority w:val="99"/>
    <w:semiHidden/>
    <w:unhideWhenUsed/>
    <w:rsid w:val="008C384A"/>
    <w:rPr>
      <w:color w:val="605E5C"/>
      <w:shd w:val="clear" w:color="auto" w:fill="E1DFDD"/>
    </w:rPr>
  </w:style>
  <w:style w:type="table" w:styleId="Grilledutableau">
    <w:name w:val="Table Grid"/>
    <w:basedOn w:val="TableauNormal"/>
    <w:uiPriority w:val="39"/>
    <w:rsid w:val="00F5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36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13115">
      <w:bodyDiv w:val="1"/>
      <w:marLeft w:val="0"/>
      <w:marRight w:val="0"/>
      <w:marTop w:val="0"/>
      <w:marBottom w:val="0"/>
      <w:divBdr>
        <w:top w:val="none" w:sz="0" w:space="0" w:color="auto"/>
        <w:left w:val="none" w:sz="0" w:space="0" w:color="auto"/>
        <w:bottom w:val="none" w:sz="0" w:space="0" w:color="auto"/>
        <w:right w:val="none" w:sz="0" w:space="0" w:color="auto"/>
      </w:divBdr>
    </w:div>
    <w:div w:id="348483883">
      <w:bodyDiv w:val="1"/>
      <w:marLeft w:val="0"/>
      <w:marRight w:val="0"/>
      <w:marTop w:val="0"/>
      <w:marBottom w:val="0"/>
      <w:divBdr>
        <w:top w:val="none" w:sz="0" w:space="0" w:color="auto"/>
        <w:left w:val="none" w:sz="0" w:space="0" w:color="auto"/>
        <w:bottom w:val="none" w:sz="0" w:space="0" w:color="auto"/>
        <w:right w:val="none" w:sz="0" w:space="0" w:color="auto"/>
      </w:divBdr>
      <w:divsChild>
        <w:div w:id="1466661063">
          <w:marLeft w:val="0"/>
          <w:marRight w:val="0"/>
          <w:marTop w:val="0"/>
          <w:marBottom w:val="0"/>
          <w:divBdr>
            <w:top w:val="none" w:sz="0" w:space="0" w:color="auto"/>
            <w:left w:val="none" w:sz="0" w:space="0" w:color="auto"/>
            <w:bottom w:val="none" w:sz="0" w:space="0" w:color="auto"/>
            <w:right w:val="none" w:sz="0" w:space="0" w:color="auto"/>
          </w:divBdr>
          <w:divsChild>
            <w:div w:id="160705942">
              <w:marLeft w:val="0"/>
              <w:marRight w:val="0"/>
              <w:marTop w:val="0"/>
              <w:marBottom w:val="0"/>
              <w:divBdr>
                <w:top w:val="none" w:sz="0" w:space="0" w:color="auto"/>
                <w:left w:val="none" w:sz="0" w:space="0" w:color="auto"/>
                <w:bottom w:val="none" w:sz="0" w:space="0" w:color="auto"/>
                <w:right w:val="none" w:sz="0" w:space="0" w:color="auto"/>
              </w:divBdr>
              <w:divsChild>
                <w:div w:id="1570381149">
                  <w:marLeft w:val="0"/>
                  <w:marRight w:val="0"/>
                  <w:marTop w:val="0"/>
                  <w:marBottom w:val="0"/>
                  <w:divBdr>
                    <w:top w:val="none" w:sz="0" w:space="0" w:color="auto"/>
                    <w:left w:val="none" w:sz="0" w:space="0" w:color="auto"/>
                    <w:bottom w:val="none" w:sz="0" w:space="0" w:color="auto"/>
                    <w:right w:val="none" w:sz="0" w:space="0" w:color="auto"/>
                  </w:divBdr>
                  <w:divsChild>
                    <w:div w:id="1822311761">
                      <w:marLeft w:val="0"/>
                      <w:marRight w:val="0"/>
                      <w:marTop w:val="0"/>
                      <w:marBottom w:val="0"/>
                      <w:divBdr>
                        <w:top w:val="none" w:sz="0" w:space="0" w:color="auto"/>
                        <w:left w:val="none" w:sz="0" w:space="0" w:color="auto"/>
                        <w:bottom w:val="none" w:sz="0" w:space="0" w:color="auto"/>
                        <w:right w:val="none" w:sz="0" w:space="0" w:color="auto"/>
                      </w:divBdr>
                      <w:divsChild>
                        <w:div w:id="1600870823">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sChild>
                </w:div>
              </w:divsChild>
            </w:div>
          </w:divsChild>
        </w:div>
      </w:divsChild>
    </w:div>
    <w:div w:id="476381697">
      <w:bodyDiv w:val="1"/>
      <w:marLeft w:val="0"/>
      <w:marRight w:val="0"/>
      <w:marTop w:val="0"/>
      <w:marBottom w:val="0"/>
      <w:divBdr>
        <w:top w:val="none" w:sz="0" w:space="0" w:color="auto"/>
        <w:left w:val="none" w:sz="0" w:space="0" w:color="auto"/>
        <w:bottom w:val="none" w:sz="0" w:space="0" w:color="auto"/>
        <w:right w:val="none" w:sz="0" w:space="0" w:color="auto"/>
      </w:divBdr>
    </w:div>
    <w:div w:id="760687219">
      <w:bodyDiv w:val="1"/>
      <w:marLeft w:val="0"/>
      <w:marRight w:val="0"/>
      <w:marTop w:val="0"/>
      <w:marBottom w:val="0"/>
      <w:divBdr>
        <w:top w:val="none" w:sz="0" w:space="0" w:color="auto"/>
        <w:left w:val="none" w:sz="0" w:space="0" w:color="auto"/>
        <w:bottom w:val="none" w:sz="0" w:space="0" w:color="auto"/>
        <w:right w:val="none" w:sz="0" w:space="0" w:color="auto"/>
      </w:divBdr>
    </w:div>
    <w:div w:id="967248555">
      <w:bodyDiv w:val="1"/>
      <w:marLeft w:val="0"/>
      <w:marRight w:val="0"/>
      <w:marTop w:val="0"/>
      <w:marBottom w:val="0"/>
      <w:divBdr>
        <w:top w:val="none" w:sz="0" w:space="0" w:color="auto"/>
        <w:left w:val="none" w:sz="0" w:space="0" w:color="auto"/>
        <w:bottom w:val="none" w:sz="0" w:space="0" w:color="auto"/>
        <w:right w:val="none" w:sz="0" w:space="0" w:color="auto"/>
      </w:divBdr>
    </w:div>
    <w:div w:id="1264998488">
      <w:bodyDiv w:val="1"/>
      <w:marLeft w:val="0"/>
      <w:marRight w:val="0"/>
      <w:marTop w:val="0"/>
      <w:marBottom w:val="0"/>
      <w:divBdr>
        <w:top w:val="none" w:sz="0" w:space="0" w:color="auto"/>
        <w:left w:val="none" w:sz="0" w:space="0" w:color="auto"/>
        <w:bottom w:val="none" w:sz="0" w:space="0" w:color="auto"/>
        <w:right w:val="none" w:sz="0" w:space="0" w:color="auto"/>
      </w:divBdr>
    </w:div>
    <w:div w:id="1306860935">
      <w:bodyDiv w:val="1"/>
      <w:marLeft w:val="0"/>
      <w:marRight w:val="0"/>
      <w:marTop w:val="0"/>
      <w:marBottom w:val="0"/>
      <w:divBdr>
        <w:top w:val="none" w:sz="0" w:space="0" w:color="auto"/>
        <w:left w:val="none" w:sz="0" w:space="0" w:color="auto"/>
        <w:bottom w:val="none" w:sz="0" w:space="0" w:color="auto"/>
        <w:right w:val="none" w:sz="0" w:space="0" w:color="auto"/>
      </w:divBdr>
    </w:div>
    <w:div w:id="1442259326">
      <w:bodyDiv w:val="1"/>
      <w:marLeft w:val="0"/>
      <w:marRight w:val="0"/>
      <w:marTop w:val="0"/>
      <w:marBottom w:val="0"/>
      <w:divBdr>
        <w:top w:val="none" w:sz="0" w:space="0" w:color="auto"/>
        <w:left w:val="none" w:sz="0" w:space="0" w:color="auto"/>
        <w:bottom w:val="none" w:sz="0" w:space="0" w:color="auto"/>
        <w:right w:val="none" w:sz="0" w:space="0" w:color="auto"/>
      </w:divBdr>
    </w:div>
    <w:div w:id="21210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dc-cae.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al.desautels@caememphremagog.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rimard@sadcdessources.com" TargetMode="External"/><Relationship Id="rId5" Type="http://schemas.openxmlformats.org/officeDocument/2006/relationships/footnotes" Target="footnotes.xml"/><Relationship Id="rId10" Type="http://schemas.openxmlformats.org/officeDocument/2006/relationships/hyperlink" Target="https://dec.canada.ca/fra/programmes/pdc/index.html" TargetMode="External"/><Relationship Id="rId4" Type="http://schemas.openxmlformats.org/officeDocument/2006/relationships/webSettings" Target="webSettings.xml"/><Relationship Id="rId9" Type="http://schemas.openxmlformats.org/officeDocument/2006/relationships/hyperlink" Target="http://www.sadc-cae.c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4873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D, SADC</dc:creator>
  <cp:keywords/>
  <dc:description/>
  <cp:lastModifiedBy>Real Desautels</cp:lastModifiedBy>
  <cp:revision>4</cp:revision>
  <dcterms:created xsi:type="dcterms:W3CDTF">2020-06-09T17:37:00Z</dcterms:created>
  <dcterms:modified xsi:type="dcterms:W3CDTF">2020-06-11T15:56:00Z</dcterms:modified>
</cp:coreProperties>
</file>